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5FD" w:rsidRDefault="0043238E" w:rsidP="00FA70C5">
      <w:pPr>
        <w:jc w:val="center"/>
        <w:rPr>
          <w:b/>
          <w:bCs/>
          <w:sz w:val="28"/>
          <w:szCs w:val="28"/>
        </w:rPr>
      </w:pPr>
      <w:r>
        <w:rPr>
          <w:b/>
          <w:bCs/>
          <w:sz w:val="28"/>
          <w:szCs w:val="28"/>
        </w:rPr>
        <w:t xml:space="preserve">Report </w:t>
      </w:r>
      <w:r w:rsidR="00B562A1">
        <w:rPr>
          <w:b/>
          <w:bCs/>
          <w:sz w:val="28"/>
          <w:szCs w:val="28"/>
        </w:rPr>
        <w:t xml:space="preserve">of </w:t>
      </w:r>
      <w:r w:rsidR="005C64AA">
        <w:rPr>
          <w:b/>
          <w:bCs/>
          <w:sz w:val="28"/>
          <w:szCs w:val="28"/>
        </w:rPr>
        <w:t xml:space="preserve">Tehran </w:t>
      </w:r>
      <w:r w:rsidR="00B562A1">
        <w:rPr>
          <w:b/>
          <w:bCs/>
          <w:sz w:val="28"/>
          <w:szCs w:val="28"/>
        </w:rPr>
        <w:t>Residential Buildings Inputs Price Index</w:t>
      </w:r>
      <w:r w:rsidR="00B562A1" w:rsidRPr="003E0D70">
        <w:rPr>
          <w:b/>
          <w:bCs/>
          <w:sz w:val="28"/>
          <w:szCs w:val="28"/>
        </w:rPr>
        <w:t xml:space="preserve"> </w:t>
      </w:r>
      <w:r w:rsidR="00B562A1">
        <w:rPr>
          <w:b/>
          <w:bCs/>
          <w:sz w:val="28"/>
          <w:szCs w:val="28"/>
        </w:rPr>
        <w:t xml:space="preserve">in the </w:t>
      </w:r>
      <w:proofErr w:type="gramStart"/>
      <w:r w:rsidR="00B562A1">
        <w:rPr>
          <w:b/>
          <w:bCs/>
          <w:sz w:val="28"/>
          <w:szCs w:val="28"/>
        </w:rPr>
        <w:t>Autumn</w:t>
      </w:r>
      <w:proofErr w:type="gramEnd"/>
      <w:r w:rsidR="00B562A1">
        <w:rPr>
          <w:b/>
          <w:bCs/>
          <w:sz w:val="28"/>
          <w:szCs w:val="28"/>
        </w:rPr>
        <w:t xml:space="preserve"> </w:t>
      </w:r>
      <w:bookmarkStart w:id="0" w:name="_GoBack"/>
      <w:bookmarkEnd w:id="0"/>
      <w:r w:rsidR="00B562A1">
        <w:rPr>
          <w:b/>
          <w:bCs/>
          <w:sz w:val="28"/>
          <w:szCs w:val="28"/>
        </w:rPr>
        <w:t>of The Year 1396</w:t>
      </w:r>
      <w:r>
        <w:rPr>
          <w:rStyle w:val="FootnoteReference"/>
          <w:b/>
          <w:bCs/>
          <w:sz w:val="28"/>
          <w:szCs w:val="28"/>
        </w:rPr>
        <w:footnoteReference w:id="1"/>
      </w:r>
      <w:r w:rsidR="00B562A1">
        <w:rPr>
          <w:b/>
          <w:bCs/>
          <w:sz w:val="28"/>
          <w:szCs w:val="28"/>
        </w:rPr>
        <w:t xml:space="preserve">  </w:t>
      </w:r>
    </w:p>
    <w:p w:rsidR="00D14425" w:rsidRDefault="00D14425" w:rsidP="00D14425">
      <w:pPr>
        <w:jc w:val="center"/>
        <w:rPr>
          <w:b/>
          <w:bCs/>
          <w:sz w:val="28"/>
          <w:szCs w:val="28"/>
        </w:rPr>
      </w:pPr>
      <w:r>
        <w:rPr>
          <w:b/>
          <w:bCs/>
          <w:sz w:val="28"/>
          <w:szCs w:val="28"/>
        </w:rPr>
        <w:t>(Base year</w:t>
      </w:r>
      <w:r w:rsidR="005E4939">
        <w:rPr>
          <w:b/>
          <w:bCs/>
          <w:sz w:val="28"/>
          <w:szCs w:val="28"/>
        </w:rPr>
        <w:t>=</w:t>
      </w:r>
      <w:r>
        <w:rPr>
          <w:b/>
          <w:bCs/>
          <w:sz w:val="28"/>
          <w:szCs w:val="28"/>
        </w:rPr>
        <w:t xml:space="preserve"> 1390)</w:t>
      </w:r>
    </w:p>
    <w:p w:rsidR="00D019F3" w:rsidRPr="005E4939" w:rsidRDefault="006C40C4" w:rsidP="005E4939">
      <w:pPr>
        <w:jc w:val="both"/>
        <w:rPr>
          <w:rFonts w:asciiTheme="majorBidi" w:hAnsiTheme="majorBidi" w:cstheme="majorBidi"/>
        </w:rPr>
      </w:pPr>
      <w:r>
        <w:rPr>
          <w:sz w:val="28"/>
          <w:szCs w:val="28"/>
        </w:rPr>
        <w:t xml:space="preserve"> </w:t>
      </w:r>
      <w:r w:rsidR="00D019F3" w:rsidRPr="005E4939">
        <w:t>The g</w:t>
      </w:r>
      <w:r w:rsidR="001C3610" w:rsidRPr="005E4939">
        <w:t xml:space="preserve">eneral </w:t>
      </w:r>
      <w:r w:rsidR="00D019F3" w:rsidRPr="005E4939">
        <w:t xml:space="preserve">price </w:t>
      </w:r>
      <w:r w:rsidR="001C3610" w:rsidRPr="005E4939">
        <w:t>ind</w:t>
      </w:r>
      <w:r w:rsidR="00FA0EE9" w:rsidRPr="005E4939">
        <w:t>ex</w:t>
      </w:r>
      <w:r w:rsidR="00D019F3" w:rsidRPr="005E4939">
        <w:t xml:space="preserve"> of</w:t>
      </w:r>
      <w:r w:rsidR="00D019F3" w:rsidRPr="005E4939">
        <w:rPr>
          <w:rFonts w:asciiTheme="majorBidi" w:hAnsiTheme="majorBidi" w:cstheme="majorBidi"/>
        </w:rPr>
        <w:t xml:space="preserve"> residential buildings inputs in Tehran </w:t>
      </w:r>
      <w:r w:rsidR="00763648" w:rsidRPr="005E4939">
        <w:rPr>
          <w:rFonts w:asciiTheme="majorBidi" w:hAnsiTheme="majorBidi" w:cstheme="majorBidi"/>
        </w:rPr>
        <w:t xml:space="preserve">by </w:t>
      </w:r>
      <w:r w:rsidR="00D019F3" w:rsidRPr="005E4939">
        <w:rPr>
          <w:rFonts w:asciiTheme="majorBidi" w:hAnsiTheme="majorBidi" w:cstheme="majorBidi"/>
        </w:rPr>
        <w:t>base year 1390</w:t>
      </w:r>
      <w:r w:rsidR="001C3610" w:rsidRPr="005E4939">
        <w:t xml:space="preserve">, </w:t>
      </w:r>
      <w:r w:rsidR="00FA70C5" w:rsidRPr="005E4939">
        <w:t>i</w:t>
      </w:r>
      <w:r w:rsidR="001C3610" w:rsidRPr="005E4939">
        <w:t xml:space="preserve">n the </w:t>
      </w:r>
      <w:r w:rsidR="00D019F3" w:rsidRPr="005E4939">
        <w:t>autumn</w:t>
      </w:r>
      <w:r w:rsidR="00FA70C5" w:rsidRPr="005E4939">
        <w:t xml:space="preserve"> </w:t>
      </w:r>
      <w:r w:rsidR="001C3610" w:rsidRPr="005E4939">
        <w:t xml:space="preserve">of </w:t>
      </w:r>
      <w:r w:rsidR="00FA70C5" w:rsidRPr="005E4939">
        <w:t xml:space="preserve">the </w:t>
      </w:r>
      <w:r w:rsidR="001C3610" w:rsidRPr="005E4939">
        <w:t xml:space="preserve">year 1396 </w:t>
      </w:r>
      <w:r w:rsidR="00D019F3" w:rsidRPr="005E4939">
        <w:t>was</w:t>
      </w:r>
      <w:r w:rsidR="001C3610" w:rsidRPr="005E4939">
        <w:t xml:space="preserve"> 21</w:t>
      </w:r>
      <w:r w:rsidR="00537C00" w:rsidRPr="005E4939">
        <w:t>6</w:t>
      </w:r>
      <w:r w:rsidR="001C3610" w:rsidRPr="005E4939">
        <w:t>.</w:t>
      </w:r>
      <w:r w:rsidR="00537C00" w:rsidRPr="005E4939">
        <w:t>7</w:t>
      </w:r>
      <w:r w:rsidR="001C3610" w:rsidRPr="005E4939">
        <w:t xml:space="preserve"> which </w:t>
      </w:r>
      <w:r w:rsidR="00D019F3" w:rsidRPr="005E4939">
        <w:t xml:space="preserve">increased by </w:t>
      </w:r>
      <w:r w:rsidR="00537C00" w:rsidRPr="005E4939">
        <w:t>2.4</w:t>
      </w:r>
      <w:r w:rsidR="001C3610" w:rsidRPr="005E4939">
        <w:t xml:space="preserve"> percent </w:t>
      </w:r>
      <w:r w:rsidR="00D019F3" w:rsidRPr="005E4939">
        <w:rPr>
          <w:rFonts w:asciiTheme="majorBidi" w:hAnsiTheme="majorBidi" w:cstheme="majorBidi"/>
        </w:rPr>
        <w:t xml:space="preserve">in contrast to the preceding season </w:t>
      </w:r>
      <w:r w:rsidR="00D019F3" w:rsidRPr="005E4939">
        <w:t>(211.6) and by 12 percent over</w:t>
      </w:r>
      <w:r w:rsidR="001C3610" w:rsidRPr="005E4939">
        <w:t xml:space="preserve"> the corresponding </w:t>
      </w:r>
      <w:r w:rsidR="00D019F3" w:rsidRPr="005E4939">
        <w:t xml:space="preserve">season in the </w:t>
      </w:r>
      <w:r w:rsidR="005D0DFC" w:rsidRPr="005E4939">
        <w:t>previous year (1</w:t>
      </w:r>
      <w:r w:rsidR="00537C00" w:rsidRPr="005E4939">
        <w:t>93</w:t>
      </w:r>
      <w:r w:rsidR="005D0DFC" w:rsidRPr="005E4939">
        <w:t xml:space="preserve">.5). </w:t>
      </w:r>
      <w:r w:rsidR="00D019F3" w:rsidRPr="005E4939">
        <w:rPr>
          <w:rFonts w:asciiTheme="majorBidi" w:hAnsiTheme="majorBidi" w:cstheme="majorBidi"/>
        </w:rPr>
        <w:t>Percentage changes in the general index for the four seasons ending to the</w:t>
      </w:r>
      <w:r w:rsidR="005223BC" w:rsidRPr="005E4939">
        <w:rPr>
          <w:sz w:val="22"/>
          <w:szCs w:val="22"/>
        </w:rPr>
        <w:t xml:space="preserve"> </w:t>
      </w:r>
      <w:r w:rsidR="00D019F3" w:rsidRPr="005E4939">
        <w:t>autumn</w:t>
      </w:r>
      <w:r w:rsidR="005223BC" w:rsidRPr="005E4939">
        <w:t xml:space="preserve"> </w:t>
      </w:r>
      <w:r w:rsidR="00D019F3" w:rsidRPr="005E4939">
        <w:t>of the</w:t>
      </w:r>
      <w:r w:rsidR="00537C00" w:rsidRPr="005E4939">
        <w:t xml:space="preserve"> </w:t>
      </w:r>
      <w:r w:rsidR="005223BC" w:rsidRPr="005E4939">
        <w:t xml:space="preserve">year </w:t>
      </w:r>
      <w:r w:rsidR="001479BC" w:rsidRPr="005E4939">
        <w:t>1396 was</w:t>
      </w:r>
      <w:r w:rsidR="00D019F3" w:rsidRPr="005E4939">
        <w:t xml:space="preserve"> </w:t>
      </w:r>
      <w:r w:rsidR="00537C00" w:rsidRPr="005E4939">
        <w:t>10.4</w:t>
      </w:r>
      <w:r w:rsidR="005223BC" w:rsidRPr="005E4939">
        <w:t xml:space="preserve"> percent</w:t>
      </w:r>
      <w:r w:rsidR="00D019F3" w:rsidRPr="005E4939">
        <w:t xml:space="preserve"> </w:t>
      </w:r>
      <w:r w:rsidR="00D019F3" w:rsidRPr="005E4939">
        <w:rPr>
          <w:rFonts w:asciiTheme="majorBidi" w:hAnsiTheme="majorBidi" w:cstheme="majorBidi"/>
        </w:rPr>
        <w:t>which grew over the same information in the previous season (9.9%).</w:t>
      </w:r>
    </w:p>
    <w:p w:rsidR="00763648" w:rsidRPr="005E4939" w:rsidRDefault="00763648" w:rsidP="00BD67A6">
      <w:pPr>
        <w:jc w:val="both"/>
      </w:pPr>
      <w:r w:rsidRPr="005E4939">
        <w:rPr>
          <w:rFonts w:asciiTheme="majorBidi" w:hAnsiTheme="majorBidi" w:cstheme="majorBidi"/>
        </w:rPr>
        <w:t xml:space="preserve">The index of "cement, concrete, gravel and </w:t>
      </w:r>
      <w:r w:rsidRPr="005E4939">
        <w:t>fine</w:t>
      </w:r>
      <w:r w:rsidRPr="005E4939">
        <w:rPr>
          <w:rFonts w:asciiTheme="majorBidi" w:hAnsiTheme="majorBidi" w:cstheme="majorBidi"/>
        </w:rPr>
        <w:t xml:space="preserve"> sand” group in </w:t>
      </w:r>
      <w:r w:rsidR="005C2BCC" w:rsidRPr="005E4939">
        <w:t xml:space="preserve">the </w:t>
      </w:r>
      <w:r w:rsidRPr="005E4939">
        <w:t>autumn</w:t>
      </w:r>
      <w:r w:rsidR="005C2BCC" w:rsidRPr="005E4939">
        <w:t xml:space="preserve"> of the year 1396 </w:t>
      </w:r>
      <w:r w:rsidRPr="005E4939">
        <w:t xml:space="preserve">was </w:t>
      </w:r>
      <w:r w:rsidR="005C2BCC" w:rsidRPr="005E4939">
        <w:t>21</w:t>
      </w:r>
      <w:r w:rsidR="0074048D" w:rsidRPr="005E4939">
        <w:t>8</w:t>
      </w:r>
      <w:r w:rsidR="005C2BCC" w:rsidRPr="005E4939">
        <w:t>.</w:t>
      </w:r>
      <w:r w:rsidR="0074048D" w:rsidRPr="005E4939">
        <w:t>4</w:t>
      </w:r>
      <w:r w:rsidR="005C2BCC" w:rsidRPr="005E4939">
        <w:t xml:space="preserve"> which </w:t>
      </w:r>
      <w:r w:rsidR="0074048D" w:rsidRPr="005E4939">
        <w:t xml:space="preserve">increased </w:t>
      </w:r>
      <w:r w:rsidRPr="005E4939">
        <w:t xml:space="preserve">by </w:t>
      </w:r>
      <w:r w:rsidR="0074048D" w:rsidRPr="005E4939">
        <w:t>1</w:t>
      </w:r>
      <w:r w:rsidR="005C2BCC" w:rsidRPr="005E4939">
        <w:t>.5 percent</w:t>
      </w:r>
      <w:r w:rsidRPr="005E4939">
        <w:t xml:space="preserve"> compared to the previous season</w:t>
      </w:r>
      <w:r w:rsidR="005C2BCC" w:rsidRPr="005E4939">
        <w:t xml:space="preserve">. </w:t>
      </w:r>
      <w:r w:rsidRPr="005E4939">
        <w:rPr>
          <w:rFonts w:asciiTheme="majorBidi" w:hAnsiTheme="majorBidi" w:cstheme="majorBidi"/>
        </w:rPr>
        <w:t xml:space="preserve">The index of "plaster and plasterwork” group was 202.2 in the autumn of the year 1396 </w:t>
      </w:r>
      <w:r w:rsidR="0043404D" w:rsidRPr="005E4939">
        <w:t xml:space="preserve">which </w:t>
      </w:r>
      <w:r w:rsidR="0074048D" w:rsidRPr="005E4939">
        <w:t xml:space="preserve">increased </w:t>
      </w:r>
      <w:r w:rsidRPr="005E4939">
        <w:t xml:space="preserve">by </w:t>
      </w:r>
      <w:r w:rsidR="0074048D" w:rsidRPr="005E4939">
        <w:t>0.4 percent</w:t>
      </w:r>
      <w:r w:rsidRPr="005E4939">
        <w:t xml:space="preserve"> compared to the previous season</w:t>
      </w:r>
      <w:r w:rsidR="0043404D" w:rsidRPr="005E4939">
        <w:t xml:space="preserve">. </w:t>
      </w:r>
      <w:r w:rsidR="00F03A7B" w:rsidRPr="005E4939">
        <w:rPr>
          <w:rFonts w:asciiTheme="majorBidi" w:hAnsiTheme="majorBidi" w:cstheme="majorBidi"/>
        </w:rPr>
        <w:t>The index of</w:t>
      </w:r>
      <w:r w:rsidR="0043404D" w:rsidRPr="005E4939">
        <w:t xml:space="preserve"> </w:t>
      </w:r>
      <w:r w:rsidR="00C150FE" w:rsidRPr="005E4939">
        <w:t xml:space="preserve">"variety of </w:t>
      </w:r>
      <w:r w:rsidR="00F03A7B" w:rsidRPr="005E4939">
        <w:rPr>
          <w:rFonts w:asciiTheme="majorBidi" w:hAnsiTheme="majorBidi" w:cstheme="majorBidi"/>
        </w:rPr>
        <w:t xml:space="preserve">clay blocks and brick” group </w:t>
      </w:r>
      <w:r w:rsidR="00F03A7B" w:rsidRPr="005E4939">
        <w:t>in</w:t>
      </w:r>
      <w:r w:rsidR="00C150FE" w:rsidRPr="005E4939">
        <w:t xml:space="preserve"> the </w:t>
      </w:r>
      <w:r w:rsidR="00F03A7B" w:rsidRPr="005E4939">
        <w:t>autumn</w:t>
      </w:r>
      <w:r w:rsidR="00C150FE" w:rsidRPr="005E4939">
        <w:t xml:space="preserve"> of the year 1396 </w:t>
      </w:r>
      <w:r w:rsidR="00F03A7B" w:rsidRPr="005E4939">
        <w:t>was</w:t>
      </w:r>
      <w:r w:rsidR="00C150FE" w:rsidRPr="005E4939">
        <w:t xml:space="preserve"> 1</w:t>
      </w:r>
      <w:r w:rsidR="0074048D" w:rsidRPr="005E4939">
        <w:t xml:space="preserve">81.4 </w:t>
      </w:r>
      <w:r w:rsidR="00F03A7B" w:rsidRPr="005E4939">
        <w:rPr>
          <w:rFonts w:asciiTheme="majorBidi" w:hAnsiTheme="majorBidi" w:cstheme="majorBidi"/>
        </w:rPr>
        <w:t>which grew by 1.4 percent over the previous season</w:t>
      </w:r>
      <w:r w:rsidR="00C150FE" w:rsidRPr="005E4939">
        <w:t>.</w:t>
      </w:r>
    </w:p>
    <w:p w:rsidR="00763648" w:rsidRPr="005E4939" w:rsidRDefault="008618A5" w:rsidP="005E4939">
      <w:pPr>
        <w:jc w:val="both"/>
        <w:rPr>
          <w:rFonts w:asciiTheme="majorBidi" w:hAnsiTheme="majorBidi" w:cstheme="majorBidi"/>
        </w:rPr>
      </w:pPr>
      <w:r w:rsidRPr="005E4939">
        <w:t xml:space="preserve">The "mosaic, tile and ceramic" group index </w:t>
      </w:r>
      <w:r w:rsidR="0074048D" w:rsidRPr="005E4939">
        <w:t>i</w:t>
      </w:r>
      <w:r w:rsidRPr="005E4939">
        <w:t>n the</w:t>
      </w:r>
      <w:r w:rsidR="00F03A7B" w:rsidRPr="005E4939">
        <w:t xml:space="preserve"> </w:t>
      </w:r>
      <w:r w:rsidR="00271480" w:rsidRPr="005E4939">
        <w:t>autumn of the year 1396</w:t>
      </w:r>
      <w:r w:rsidR="00271480" w:rsidRPr="005E4939">
        <w:rPr>
          <w:rFonts w:hint="cs"/>
          <w:rtl/>
        </w:rPr>
        <w:t xml:space="preserve"> </w:t>
      </w:r>
      <w:r w:rsidR="00271480" w:rsidRPr="005E4939">
        <w:t>was</w:t>
      </w:r>
      <w:r w:rsidRPr="005E4939">
        <w:t xml:space="preserve"> 19</w:t>
      </w:r>
      <w:r w:rsidR="0074048D" w:rsidRPr="005E4939">
        <w:t>2</w:t>
      </w:r>
      <w:r w:rsidRPr="005E4939">
        <w:t>.</w:t>
      </w:r>
      <w:r w:rsidR="0074048D" w:rsidRPr="005E4939">
        <w:t>4</w:t>
      </w:r>
      <w:r w:rsidRPr="005E4939">
        <w:t xml:space="preserve"> which increased </w:t>
      </w:r>
      <w:r w:rsidR="00271480" w:rsidRPr="005E4939">
        <w:t xml:space="preserve">by </w:t>
      </w:r>
      <w:r w:rsidR="00E561E9" w:rsidRPr="005E4939">
        <w:t>1.2</w:t>
      </w:r>
      <w:r w:rsidRPr="005E4939">
        <w:t xml:space="preserve"> percent</w:t>
      </w:r>
      <w:r w:rsidR="00271480" w:rsidRPr="005E4939">
        <w:t xml:space="preserve"> compared to the previous season</w:t>
      </w:r>
      <w:r w:rsidRPr="005E4939">
        <w:t xml:space="preserve">. The "stone" group index </w:t>
      </w:r>
      <w:r w:rsidR="00E561E9" w:rsidRPr="005E4939">
        <w:t>i</w:t>
      </w:r>
      <w:r w:rsidRPr="005E4939">
        <w:t xml:space="preserve">n the </w:t>
      </w:r>
      <w:r w:rsidR="00271480" w:rsidRPr="005E4939">
        <w:t>autumn</w:t>
      </w:r>
      <w:r w:rsidRPr="005E4939">
        <w:t xml:space="preserve"> of the year 1396 </w:t>
      </w:r>
      <w:r w:rsidR="00271480" w:rsidRPr="005E4939">
        <w:t>was</w:t>
      </w:r>
      <w:r w:rsidRPr="005E4939">
        <w:t xml:space="preserve"> 20</w:t>
      </w:r>
      <w:r w:rsidR="00E561E9" w:rsidRPr="005E4939">
        <w:t>7</w:t>
      </w:r>
      <w:r w:rsidRPr="005E4939">
        <w:t xml:space="preserve">.0 which </w:t>
      </w:r>
      <w:r w:rsidR="00FB382A" w:rsidRPr="005E4939">
        <w:t xml:space="preserve">grew </w:t>
      </w:r>
      <w:r w:rsidR="00271480" w:rsidRPr="005E4939">
        <w:t xml:space="preserve">by </w:t>
      </w:r>
      <w:r w:rsidR="00E561E9" w:rsidRPr="005E4939">
        <w:t>1.0</w:t>
      </w:r>
      <w:r w:rsidRPr="005E4939">
        <w:t xml:space="preserve"> percent</w:t>
      </w:r>
      <w:r w:rsidR="00FB382A" w:rsidRPr="005E4939">
        <w:t xml:space="preserve"> in contrast to the previous season</w:t>
      </w:r>
      <w:r w:rsidRPr="005E4939">
        <w:t>.</w:t>
      </w:r>
      <w:r w:rsidR="0043404D" w:rsidRPr="005E4939">
        <w:t xml:space="preserve"> </w:t>
      </w:r>
      <w:r w:rsidRPr="005E4939">
        <w:t xml:space="preserve">The </w:t>
      </w:r>
      <w:r w:rsidR="00444CFD" w:rsidRPr="005E4939">
        <w:t>"</w:t>
      </w:r>
      <w:r w:rsidR="00BB5EA7" w:rsidRPr="005E4939">
        <w:rPr>
          <w:rFonts w:asciiTheme="majorBidi" w:hAnsiTheme="majorBidi" w:cstheme="majorBidi"/>
        </w:rPr>
        <w:t xml:space="preserve"> steels, rebar, profiles for doors and windows” group index </w:t>
      </w:r>
      <w:r w:rsidR="00E561E9" w:rsidRPr="005E4939">
        <w:t>i</w:t>
      </w:r>
      <w:r w:rsidR="00911A8F" w:rsidRPr="005E4939">
        <w:t xml:space="preserve">n the </w:t>
      </w:r>
      <w:r w:rsidR="00271480" w:rsidRPr="005E4939">
        <w:t>autumn</w:t>
      </w:r>
      <w:r w:rsidR="00911A8F" w:rsidRPr="005E4939">
        <w:t xml:space="preserve"> of the year 1396 </w:t>
      </w:r>
      <w:r w:rsidR="00BB5EA7" w:rsidRPr="005E4939">
        <w:t>was</w:t>
      </w:r>
      <w:r w:rsidR="00911A8F" w:rsidRPr="005E4939">
        <w:t xml:space="preserve"> 19</w:t>
      </w:r>
      <w:r w:rsidR="00E561E9" w:rsidRPr="005E4939">
        <w:t>6</w:t>
      </w:r>
      <w:r w:rsidR="00911A8F" w:rsidRPr="005E4939">
        <w:t>.</w:t>
      </w:r>
      <w:r w:rsidR="00E561E9" w:rsidRPr="005E4939">
        <w:t>8</w:t>
      </w:r>
      <w:r w:rsidR="00911A8F" w:rsidRPr="005E4939">
        <w:t xml:space="preserve"> which increased </w:t>
      </w:r>
      <w:r w:rsidR="00BB5EA7" w:rsidRPr="005E4939">
        <w:t xml:space="preserve">by </w:t>
      </w:r>
      <w:r w:rsidR="00E561E9" w:rsidRPr="005E4939">
        <w:t>3.5</w:t>
      </w:r>
      <w:r w:rsidR="00911A8F" w:rsidRPr="005E4939">
        <w:t xml:space="preserve"> percent</w:t>
      </w:r>
      <w:r w:rsidR="00BB5EA7" w:rsidRPr="005E4939">
        <w:t xml:space="preserve"> compared to the previous season</w:t>
      </w:r>
      <w:r w:rsidR="00911A8F" w:rsidRPr="005E4939">
        <w:t>.</w:t>
      </w:r>
      <w:r w:rsidR="00FB382A" w:rsidRPr="005E4939">
        <w:rPr>
          <w:rFonts w:asciiTheme="majorBidi" w:hAnsiTheme="majorBidi" w:cstheme="majorBidi"/>
        </w:rPr>
        <w:t xml:space="preserve"> </w:t>
      </w:r>
      <w:r w:rsidR="002A79B5" w:rsidRPr="005E4939">
        <w:t xml:space="preserve">The "wood" group index </w:t>
      </w:r>
      <w:r w:rsidR="00E561E9" w:rsidRPr="005E4939">
        <w:t>i</w:t>
      </w:r>
      <w:r w:rsidR="002A79B5" w:rsidRPr="005E4939">
        <w:t xml:space="preserve">n the </w:t>
      </w:r>
      <w:r w:rsidR="00271480" w:rsidRPr="005E4939">
        <w:t>autumn</w:t>
      </w:r>
      <w:r w:rsidR="002A79B5" w:rsidRPr="005E4939">
        <w:t xml:space="preserve"> of the year 1396 </w:t>
      </w:r>
      <w:r w:rsidR="00BB5EA7" w:rsidRPr="005E4939">
        <w:t>was</w:t>
      </w:r>
      <w:r w:rsidR="002A79B5" w:rsidRPr="005E4939">
        <w:t xml:space="preserve"> </w:t>
      </w:r>
      <w:r w:rsidR="00E561E9" w:rsidRPr="005E4939">
        <w:t>207.5</w:t>
      </w:r>
      <w:r w:rsidR="002A79B5" w:rsidRPr="005E4939">
        <w:t xml:space="preserve"> which </w:t>
      </w:r>
      <w:r w:rsidR="00BB5EA7" w:rsidRPr="005E4939">
        <w:t xml:space="preserve">rose by </w:t>
      </w:r>
      <w:r w:rsidR="00E561E9" w:rsidRPr="005E4939">
        <w:t>6</w:t>
      </w:r>
      <w:r w:rsidR="002A79B5" w:rsidRPr="005E4939">
        <w:t>.0 percent</w:t>
      </w:r>
      <w:r w:rsidR="00BB5EA7" w:rsidRPr="005E4939">
        <w:t xml:space="preserve"> </w:t>
      </w:r>
      <w:r w:rsidR="00DB64D6" w:rsidRPr="005E4939">
        <w:t>over</w:t>
      </w:r>
      <w:r w:rsidR="00BB5EA7" w:rsidRPr="005E4939">
        <w:t xml:space="preserve"> the previous season</w:t>
      </w:r>
      <w:r w:rsidR="002A79B5" w:rsidRPr="005E4939">
        <w:t>.</w:t>
      </w:r>
      <w:r w:rsidR="00DB64D6" w:rsidRPr="005E4939">
        <w:rPr>
          <w:rFonts w:asciiTheme="majorBidi" w:hAnsiTheme="majorBidi" w:cstheme="majorBidi"/>
        </w:rPr>
        <w:t xml:space="preserve"> The “bituminous waterproofing membrane, tar paper, and asphalt “group index in the autumn of the year 1396 was 210.6 which increased by 11 percent in contrast to the previous season. </w:t>
      </w:r>
      <w:r w:rsidR="002A79B5" w:rsidRPr="005E4939">
        <w:t xml:space="preserve"> </w:t>
      </w:r>
      <w:r w:rsidR="00DB64D6" w:rsidRPr="005E4939">
        <w:rPr>
          <w:rFonts w:asciiTheme="majorBidi" w:hAnsiTheme="majorBidi" w:cstheme="majorBidi"/>
        </w:rPr>
        <w:t xml:space="preserve">The "tapware" group index in the autumn of the year 1396 was </w:t>
      </w:r>
      <w:r w:rsidR="00DB64D6" w:rsidRPr="005E4939">
        <w:t xml:space="preserve">292.3 </w:t>
      </w:r>
      <w:r w:rsidR="00DB64D6" w:rsidRPr="005E4939">
        <w:rPr>
          <w:rFonts w:asciiTheme="majorBidi" w:hAnsiTheme="majorBidi" w:cstheme="majorBidi"/>
        </w:rPr>
        <w:t xml:space="preserve">which rose </w:t>
      </w:r>
      <w:r w:rsidR="005C7C5D" w:rsidRPr="005E4939">
        <w:rPr>
          <w:rFonts w:asciiTheme="majorBidi" w:hAnsiTheme="majorBidi" w:cstheme="majorBidi"/>
        </w:rPr>
        <w:t xml:space="preserve">by </w:t>
      </w:r>
      <w:r w:rsidR="00DB64D6" w:rsidRPr="005E4939">
        <w:rPr>
          <w:rFonts w:asciiTheme="majorBidi" w:hAnsiTheme="majorBidi" w:cstheme="majorBidi"/>
        </w:rPr>
        <w:t xml:space="preserve">6.0 percent compared to the previous season. </w:t>
      </w:r>
      <w:r w:rsidR="005C7C5D" w:rsidRPr="005E4939">
        <w:rPr>
          <w:rFonts w:asciiTheme="majorBidi" w:hAnsiTheme="majorBidi" w:cstheme="majorBidi"/>
        </w:rPr>
        <w:t>The "mechanical installations and thermal insulations" group index in the autumn of the year 1396 was 242. 2 which increased</w:t>
      </w:r>
      <w:r w:rsidR="00BD67A6">
        <w:rPr>
          <w:rFonts w:asciiTheme="majorBidi" w:hAnsiTheme="majorBidi" w:cstheme="majorBidi"/>
        </w:rPr>
        <w:t xml:space="preserve"> </w:t>
      </w:r>
      <w:r w:rsidR="00264F56">
        <w:rPr>
          <w:rFonts w:asciiTheme="majorBidi" w:hAnsiTheme="majorBidi" w:cstheme="majorBidi"/>
        </w:rPr>
        <w:t xml:space="preserve">by </w:t>
      </w:r>
      <w:r w:rsidR="00264F56" w:rsidRPr="005E4939">
        <w:rPr>
          <w:rFonts w:asciiTheme="majorBidi" w:hAnsiTheme="majorBidi" w:cstheme="majorBidi"/>
        </w:rPr>
        <w:t>7.2</w:t>
      </w:r>
      <w:r w:rsidR="005C7C5D" w:rsidRPr="005E4939">
        <w:rPr>
          <w:rFonts w:asciiTheme="majorBidi" w:hAnsiTheme="majorBidi" w:cstheme="majorBidi"/>
        </w:rPr>
        <w:t xml:space="preserve"> percent compared to the previous season. The "door and window hardware"</w:t>
      </w:r>
      <w:r w:rsidR="005C7C5D" w:rsidRPr="005E4939">
        <w:rPr>
          <w:rFonts w:asciiTheme="majorBidi" w:hAnsiTheme="majorBidi" w:cstheme="majorBidi"/>
          <w:sz w:val="22"/>
          <w:szCs w:val="22"/>
        </w:rPr>
        <w:t xml:space="preserve"> </w:t>
      </w:r>
      <w:r w:rsidR="005C7C5D" w:rsidRPr="005E4939">
        <w:rPr>
          <w:rFonts w:asciiTheme="majorBidi" w:hAnsiTheme="majorBidi" w:cstheme="majorBidi"/>
        </w:rPr>
        <w:t xml:space="preserve">group index in the autumn of the year 1396 was </w:t>
      </w:r>
      <w:r w:rsidR="005C7C5D" w:rsidRPr="005E4939">
        <w:t xml:space="preserve">266.0 </w:t>
      </w:r>
      <w:r w:rsidR="005C7C5D" w:rsidRPr="005E4939">
        <w:rPr>
          <w:rFonts w:asciiTheme="majorBidi" w:hAnsiTheme="majorBidi" w:cstheme="majorBidi"/>
        </w:rPr>
        <w:t>which grew by 7.1 percent over the previous season. The "building painting" group index in the autumn of the year 1396 was 261.8 which rose by 3.1 percent in contrast to the previous season</w:t>
      </w:r>
      <w:r w:rsidR="005C7C5D" w:rsidRPr="005E4939">
        <w:t xml:space="preserve">. </w:t>
      </w:r>
      <w:r w:rsidR="005C7C5D" w:rsidRPr="005E4939">
        <w:rPr>
          <w:rFonts w:asciiTheme="majorBidi" w:hAnsiTheme="majorBidi" w:cstheme="majorBidi"/>
        </w:rPr>
        <w:t xml:space="preserve">The "electric installations” group index in the autumn of the year 1396 was 257.4 which was up 3.8 percent compared to the previous season. The "flat glass" group index in the autumn of the year 1396 was 190.8 which increased </w:t>
      </w:r>
      <w:r w:rsidR="00BD67A6">
        <w:rPr>
          <w:rFonts w:asciiTheme="majorBidi" w:hAnsiTheme="majorBidi" w:cstheme="majorBidi"/>
        </w:rPr>
        <w:t xml:space="preserve">by </w:t>
      </w:r>
      <w:r w:rsidR="005C7C5D" w:rsidRPr="005E4939">
        <w:rPr>
          <w:rFonts w:asciiTheme="majorBidi" w:hAnsiTheme="majorBidi" w:cstheme="majorBidi"/>
        </w:rPr>
        <w:t>4.0 percent over the previous season. Finally</w:t>
      </w:r>
      <w:r w:rsidR="00BD67A6">
        <w:rPr>
          <w:rFonts w:asciiTheme="majorBidi" w:hAnsiTheme="majorBidi" w:cstheme="majorBidi"/>
        </w:rPr>
        <w:t>,</w:t>
      </w:r>
      <w:r w:rsidR="005C7C5D" w:rsidRPr="005E4939">
        <w:rPr>
          <w:rFonts w:asciiTheme="majorBidi" w:hAnsiTheme="majorBidi" w:cstheme="majorBidi"/>
        </w:rPr>
        <w:t xml:space="preserve"> the "services" group index in the autumn of the year 1396 was 229.</w:t>
      </w:r>
      <w:r w:rsidR="005E4939" w:rsidRPr="005E4939">
        <w:rPr>
          <w:rFonts w:asciiTheme="majorBidi" w:hAnsiTheme="majorBidi" w:cstheme="majorBidi"/>
        </w:rPr>
        <w:t>3</w:t>
      </w:r>
      <w:r w:rsidR="005C7C5D" w:rsidRPr="005E4939">
        <w:rPr>
          <w:rFonts w:asciiTheme="majorBidi" w:hAnsiTheme="majorBidi" w:cstheme="majorBidi"/>
        </w:rPr>
        <w:t xml:space="preserve"> which rose </w:t>
      </w:r>
      <w:r w:rsidR="005E4939" w:rsidRPr="005E4939">
        <w:rPr>
          <w:rFonts w:asciiTheme="majorBidi" w:hAnsiTheme="majorBidi" w:cstheme="majorBidi"/>
        </w:rPr>
        <w:t>by 0.1</w:t>
      </w:r>
      <w:r w:rsidR="005C7C5D" w:rsidRPr="005E4939">
        <w:rPr>
          <w:rFonts w:asciiTheme="majorBidi" w:hAnsiTheme="majorBidi" w:cstheme="majorBidi"/>
        </w:rPr>
        <w:t xml:space="preserve"> percent compared to the previous season.                                                  </w:t>
      </w:r>
    </w:p>
    <w:p w:rsidR="00763648" w:rsidRPr="005E4939" w:rsidRDefault="00763648" w:rsidP="00763648">
      <w:pPr>
        <w:jc w:val="both"/>
        <w:rPr>
          <w:rFonts w:asciiTheme="majorBidi" w:hAnsiTheme="majorBidi" w:cstheme="majorBidi"/>
        </w:rPr>
      </w:pPr>
    </w:p>
    <w:p w:rsidR="00763648" w:rsidRPr="005E4939" w:rsidRDefault="00763648" w:rsidP="00763648">
      <w:pPr>
        <w:jc w:val="both"/>
        <w:rPr>
          <w:rFonts w:asciiTheme="majorBidi" w:hAnsiTheme="majorBidi" w:cstheme="majorBidi"/>
        </w:rPr>
      </w:pPr>
    </w:p>
    <w:p w:rsidR="00EE6723" w:rsidRDefault="00EE6723" w:rsidP="00EE6723">
      <w:pPr>
        <w:jc w:val="both"/>
        <w:rPr>
          <w:sz w:val="28"/>
          <w:szCs w:val="28"/>
        </w:rPr>
      </w:pPr>
    </w:p>
    <w:p w:rsidR="00264F56" w:rsidRPr="00C90C68" w:rsidRDefault="00264F56" w:rsidP="00264F56">
      <w:pPr>
        <w:jc w:val="both"/>
        <w:rPr>
          <w:rFonts w:asciiTheme="majorBidi" w:hAnsiTheme="majorBidi" w:cstheme="majorBidi"/>
          <w:b/>
          <w:bCs/>
          <w:sz w:val="28"/>
          <w:szCs w:val="28"/>
        </w:rPr>
      </w:pPr>
      <w:r w:rsidRPr="0046570A">
        <w:rPr>
          <w:rFonts w:asciiTheme="majorBidi" w:hAnsiTheme="majorBidi" w:cstheme="majorBidi"/>
          <w:b/>
          <w:bCs/>
          <w:sz w:val="28"/>
          <w:szCs w:val="28"/>
        </w:rPr>
        <w:lastRenderedPageBreak/>
        <w:t xml:space="preserve">1. General </w:t>
      </w:r>
      <w:r w:rsidR="00C90C68" w:rsidRPr="0046570A">
        <w:rPr>
          <w:rFonts w:asciiTheme="majorBidi" w:hAnsiTheme="majorBidi" w:cstheme="majorBidi"/>
          <w:b/>
          <w:bCs/>
          <w:sz w:val="28"/>
          <w:szCs w:val="28"/>
        </w:rPr>
        <w:t xml:space="preserve">Index of Tehran Residential Buildings Inputs Price and Their Percentage Changes in the </w:t>
      </w:r>
      <w:proofErr w:type="gramStart"/>
      <w:r w:rsidR="00C90C68" w:rsidRPr="0046570A">
        <w:rPr>
          <w:rFonts w:asciiTheme="majorBidi" w:hAnsiTheme="majorBidi" w:cstheme="majorBidi"/>
          <w:b/>
          <w:bCs/>
          <w:sz w:val="28"/>
          <w:szCs w:val="28"/>
        </w:rPr>
        <w:t>Autumn</w:t>
      </w:r>
      <w:proofErr w:type="gramEnd"/>
      <w:r w:rsidR="00C90C68" w:rsidRPr="0046570A">
        <w:rPr>
          <w:rFonts w:asciiTheme="majorBidi" w:hAnsiTheme="majorBidi" w:cstheme="majorBidi"/>
          <w:b/>
          <w:bCs/>
          <w:sz w:val="28"/>
          <w:szCs w:val="28"/>
        </w:rPr>
        <w:t xml:space="preserve"> of the Year 1396 </w:t>
      </w:r>
      <w:r w:rsidR="00C90C68">
        <w:rPr>
          <w:rFonts w:asciiTheme="majorBidi" w:hAnsiTheme="majorBidi" w:cstheme="majorBidi"/>
          <w:b/>
          <w:bCs/>
          <w:sz w:val="28"/>
          <w:szCs w:val="28"/>
        </w:rPr>
        <w:t xml:space="preserve">     </w:t>
      </w:r>
      <w:r w:rsidRPr="00C90C68">
        <w:rPr>
          <w:rFonts w:asciiTheme="majorBidi" w:hAnsiTheme="majorBidi" w:cstheme="majorBidi"/>
          <w:b/>
          <w:bCs/>
          <w:sz w:val="28"/>
          <w:szCs w:val="28"/>
        </w:rPr>
        <w:t>(base year 1390)</w:t>
      </w:r>
    </w:p>
    <w:tbl>
      <w:tblPr>
        <w:tblStyle w:val="TableGrid"/>
        <w:tblpPr w:leftFromText="180" w:rightFromText="180" w:vertAnchor="text" w:tblpXSpec="center" w:tblpY="1"/>
        <w:tblOverlap w:val="never"/>
        <w:tblW w:w="6282" w:type="pct"/>
        <w:tblLayout w:type="fixed"/>
        <w:tblLook w:val="01E0" w:firstRow="1" w:lastRow="1" w:firstColumn="1" w:lastColumn="1" w:noHBand="0" w:noVBand="0"/>
      </w:tblPr>
      <w:tblGrid>
        <w:gridCol w:w="4678"/>
        <w:gridCol w:w="1277"/>
        <w:gridCol w:w="991"/>
        <w:gridCol w:w="1275"/>
        <w:gridCol w:w="1563"/>
        <w:gridCol w:w="1556"/>
      </w:tblGrid>
      <w:tr w:rsidR="00264F56" w:rsidRPr="0046570A" w:rsidTr="001E01DC">
        <w:trPr>
          <w:trHeight w:val="911"/>
        </w:trPr>
        <w:tc>
          <w:tcPr>
            <w:tcW w:w="2063" w:type="pct"/>
            <w:tcBorders>
              <w:top w:val="single" w:sz="12" w:space="0" w:color="auto"/>
              <w:left w:val="nil"/>
              <w:bottom w:val="single" w:sz="12" w:space="0" w:color="auto"/>
              <w:right w:val="single" w:sz="12" w:space="0" w:color="auto"/>
            </w:tcBorders>
            <w:shd w:val="clear" w:color="auto" w:fill="F7CAAC" w:themeFill="accent2" w:themeFillTint="66"/>
            <w:vAlign w:val="center"/>
          </w:tcPr>
          <w:p w:rsidR="00264F56" w:rsidRPr="00264F56" w:rsidRDefault="00264F56" w:rsidP="003C76C5">
            <w:pPr>
              <w:ind w:left="-250"/>
              <w:jc w:val="center"/>
              <w:rPr>
                <w:rFonts w:asciiTheme="majorBidi" w:hAnsiTheme="majorBidi" w:cstheme="majorBidi"/>
                <w:b/>
                <w:bCs/>
                <w:sz w:val="22"/>
                <w:szCs w:val="22"/>
                <w:lang w:bidi="fa-IR"/>
              </w:rPr>
            </w:pPr>
            <w:r w:rsidRPr="00264F56">
              <w:rPr>
                <w:rFonts w:asciiTheme="majorBidi" w:hAnsiTheme="majorBidi" w:cstheme="majorBidi"/>
                <w:b/>
                <w:bCs/>
                <w:sz w:val="22"/>
                <w:szCs w:val="22"/>
                <w:lang w:bidi="fa-IR"/>
              </w:rPr>
              <w:t>Groups</w:t>
            </w:r>
          </w:p>
        </w:tc>
        <w:tc>
          <w:tcPr>
            <w:tcW w:w="563" w:type="pct"/>
            <w:tcBorders>
              <w:top w:val="single" w:sz="12" w:space="0" w:color="auto"/>
              <w:left w:val="single" w:sz="12" w:space="0" w:color="auto"/>
              <w:bottom w:val="single" w:sz="4" w:space="0" w:color="auto"/>
              <w:right w:val="single" w:sz="12" w:space="0" w:color="auto"/>
            </w:tcBorders>
            <w:shd w:val="clear" w:color="auto" w:fill="F7CAAC" w:themeFill="accent2" w:themeFillTint="66"/>
            <w:vAlign w:val="center"/>
          </w:tcPr>
          <w:p w:rsidR="00264F56" w:rsidRPr="00264F56" w:rsidRDefault="00264F56" w:rsidP="003C76C5">
            <w:pPr>
              <w:jc w:val="center"/>
              <w:rPr>
                <w:rFonts w:asciiTheme="majorBidi" w:hAnsiTheme="majorBidi" w:cstheme="majorBidi"/>
                <w:b/>
                <w:bCs/>
                <w:sz w:val="22"/>
                <w:szCs w:val="22"/>
                <w:rtl/>
                <w:lang w:bidi="fa-IR"/>
              </w:rPr>
            </w:pPr>
            <w:r w:rsidRPr="00264F56">
              <w:rPr>
                <w:rFonts w:asciiTheme="majorBidi" w:hAnsiTheme="majorBidi" w:cstheme="majorBidi"/>
                <w:b/>
                <w:bCs/>
                <w:sz w:val="22"/>
                <w:szCs w:val="22"/>
              </w:rPr>
              <w:t xml:space="preserve">Weight </w:t>
            </w:r>
          </w:p>
        </w:tc>
        <w:tc>
          <w:tcPr>
            <w:tcW w:w="437" w:type="pct"/>
            <w:tcBorders>
              <w:top w:val="single" w:sz="12" w:space="0" w:color="auto"/>
              <w:left w:val="single" w:sz="12" w:space="0" w:color="auto"/>
              <w:bottom w:val="single" w:sz="4" w:space="0" w:color="auto"/>
              <w:right w:val="single" w:sz="12" w:space="0" w:color="auto"/>
            </w:tcBorders>
            <w:shd w:val="clear" w:color="auto" w:fill="F7CAAC" w:themeFill="accent2" w:themeFillTint="66"/>
            <w:vAlign w:val="center"/>
          </w:tcPr>
          <w:p w:rsidR="00264F56" w:rsidRPr="00264F56" w:rsidRDefault="00264F56" w:rsidP="003C76C5">
            <w:pPr>
              <w:jc w:val="center"/>
              <w:rPr>
                <w:rFonts w:asciiTheme="majorBidi" w:hAnsiTheme="majorBidi" w:cstheme="majorBidi"/>
                <w:b/>
                <w:bCs/>
                <w:sz w:val="22"/>
                <w:szCs w:val="22"/>
                <w:lang w:bidi="fa-IR"/>
              </w:rPr>
            </w:pPr>
            <w:r w:rsidRPr="00264F56">
              <w:rPr>
                <w:rFonts w:asciiTheme="majorBidi" w:hAnsiTheme="majorBidi" w:cstheme="majorBidi"/>
                <w:b/>
                <w:bCs/>
                <w:sz w:val="22"/>
                <w:szCs w:val="22"/>
              </w:rPr>
              <w:t xml:space="preserve">Summer Index  of the Year 1396 </w:t>
            </w:r>
          </w:p>
        </w:tc>
        <w:tc>
          <w:tcPr>
            <w:tcW w:w="562" w:type="pct"/>
            <w:tcBorders>
              <w:top w:val="single" w:sz="12" w:space="0" w:color="auto"/>
              <w:left w:val="single" w:sz="12" w:space="0" w:color="auto"/>
              <w:bottom w:val="single" w:sz="4" w:space="0" w:color="auto"/>
              <w:right w:val="single" w:sz="12" w:space="0" w:color="auto"/>
            </w:tcBorders>
            <w:shd w:val="clear" w:color="auto" w:fill="F7CAAC" w:themeFill="accent2" w:themeFillTint="66"/>
            <w:vAlign w:val="center"/>
          </w:tcPr>
          <w:p w:rsidR="00264F56" w:rsidRPr="00264F56" w:rsidRDefault="00264F56" w:rsidP="003C76C5">
            <w:pPr>
              <w:jc w:val="center"/>
              <w:rPr>
                <w:rFonts w:asciiTheme="majorBidi" w:hAnsiTheme="majorBidi" w:cstheme="majorBidi"/>
                <w:b/>
                <w:bCs/>
                <w:sz w:val="22"/>
                <w:szCs w:val="22"/>
                <w:rtl/>
                <w:lang w:bidi="fa-IR"/>
              </w:rPr>
            </w:pPr>
            <w:r w:rsidRPr="00264F56">
              <w:rPr>
                <w:rFonts w:asciiTheme="majorBidi" w:hAnsiTheme="majorBidi" w:cstheme="majorBidi"/>
                <w:b/>
                <w:bCs/>
                <w:sz w:val="22"/>
                <w:szCs w:val="22"/>
              </w:rPr>
              <w:t>Percentage changes compared to the previous season</w:t>
            </w:r>
          </w:p>
        </w:tc>
        <w:tc>
          <w:tcPr>
            <w:tcW w:w="689" w:type="pct"/>
            <w:tcBorders>
              <w:top w:val="single" w:sz="12" w:space="0" w:color="auto"/>
              <w:left w:val="single" w:sz="12" w:space="0" w:color="auto"/>
              <w:bottom w:val="single" w:sz="4" w:space="0" w:color="auto"/>
              <w:right w:val="single" w:sz="12" w:space="0" w:color="auto"/>
            </w:tcBorders>
            <w:shd w:val="clear" w:color="auto" w:fill="F7CAAC" w:themeFill="accent2" w:themeFillTint="66"/>
            <w:vAlign w:val="center"/>
          </w:tcPr>
          <w:p w:rsidR="00264F56" w:rsidRPr="00264F56" w:rsidRDefault="00264F56" w:rsidP="003C76C5">
            <w:pPr>
              <w:jc w:val="center"/>
              <w:rPr>
                <w:rFonts w:asciiTheme="majorBidi" w:hAnsiTheme="majorBidi" w:cstheme="majorBidi"/>
                <w:b/>
                <w:bCs/>
                <w:sz w:val="22"/>
                <w:szCs w:val="22"/>
                <w:rtl/>
                <w:lang w:bidi="fa-IR"/>
              </w:rPr>
            </w:pPr>
            <w:r w:rsidRPr="00264F56">
              <w:rPr>
                <w:rFonts w:asciiTheme="majorBidi" w:hAnsiTheme="majorBidi" w:cstheme="majorBidi"/>
                <w:b/>
                <w:bCs/>
                <w:sz w:val="22"/>
                <w:szCs w:val="22"/>
              </w:rPr>
              <w:t>Percentage changes compared to the corresponding season in the  previous year</w:t>
            </w:r>
          </w:p>
        </w:tc>
        <w:tc>
          <w:tcPr>
            <w:tcW w:w="686" w:type="pct"/>
            <w:tcBorders>
              <w:top w:val="single" w:sz="12" w:space="0" w:color="auto"/>
              <w:left w:val="single" w:sz="12" w:space="0" w:color="auto"/>
              <w:bottom w:val="single" w:sz="4" w:space="0" w:color="auto"/>
              <w:right w:val="nil"/>
            </w:tcBorders>
            <w:shd w:val="clear" w:color="auto" w:fill="F7CAAC" w:themeFill="accent2" w:themeFillTint="66"/>
            <w:vAlign w:val="center"/>
          </w:tcPr>
          <w:p w:rsidR="00264F56" w:rsidRPr="00264F56" w:rsidRDefault="00264F56" w:rsidP="003C76C5">
            <w:pPr>
              <w:jc w:val="center"/>
              <w:rPr>
                <w:rFonts w:asciiTheme="majorBidi" w:hAnsiTheme="majorBidi" w:cstheme="majorBidi"/>
                <w:b/>
                <w:bCs/>
                <w:sz w:val="22"/>
                <w:szCs w:val="22"/>
                <w:rtl/>
              </w:rPr>
            </w:pPr>
            <w:r w:rsidRPr="00264F56">
              <w:rPr>
                <w:rFonts w:asciiTheme="majorBidi" w:eastAsia="Times New Roman" w:hAnsiTheme="majorBidi" w:cstheme="majorBidi"/>
                <w:b/>
                <w:bCs/>
                <w:color w:val="000000"/>
                <w:sz w:val="22"/>
                <w:szCs w:val="22"/>
              </w:rPr>
              <w:t>Percentage change for the four seasons ending to the current season</w:t>
            </w:r>
            <w:r w:rsidRPr="00264F56">
              <w:rPr>
                <w:rFonts w:asciiTheme="majorBidi" w:hAnsiTheme="majorBidi" w:cstheme="majorBidi"/>
                <w:sz w:val="22"/>
                <w:szCs w:val="22"/>
              </w:rPr>
              <w:t xml:space="preserve"> </w:t>
            </w:r>
            <w:r w:rsidRPr="00264F56">
              <w:rPr>
                <w:rFonts w:asciiTheme="majorBidi" w:eastAsia="Times New Roman" w:hAnsiTheme="majorBidi" w:cstheme="majorBidi"/>
                <w:b/>
                <w:bCs/>
                <w:color w:val="000000"/>
                <w:sz w:val="22"/>
                <w:szCs w:val="22"/>
              </w:rPr>
              <w:t xml:space="preserve">compared to the corresponding period of the previous year(inflation rate)  </w:t>
            </w:r>
          </w:p>
        </w:tc>
      </w:tr>
      <w:tr w:rsidR="00264F56" w:rsidRPr="0046570A" w:rsidTr="001E01DC">
        <w:tc>
          <w:tcPr>
            <w:tcW w:w="2063" w:type="pct"/>
            <w:tcBorders>
              <w:top w:val="single" w:sz="12" w:space="0" w:color="auto"/>
              <w:left w:val="nil"/>
              <w:bottom w:val="nil"/>
              <w:right w:val="single" w:sz="4" w:space="0" w:color="auto"/>
            </w:tcBorders>
            <w:vAlign w:val="center"/>
          </w:tcPr>
          <w:p w:rsidR="00264F56" w:rsidRPr="0046570A" w:rsidRDefault="00264F56" w:rsidP="00264F56">
            <w:pPr>
              <w:tabs>
                <w:tab w:val="left" w:leader="dot" w:pos="4309"/>
              </w:tabs>
              <w:spacing w:line="240" w:lineRule="exact"/>
              <w:rPr>
                <w:rFonts w:asciiTheme="majorBidi" w:hAnsiTheme="majorBidi" w:cstheme="majorBidi"/>
                <w:rtl/>
              </w:rPr>
            </w:pPr>
            <w:r w:rsidRPr="0046570A">
              <w:rPr>
                <w:rFonts w:asciiTheme="majorBidi" w:hAnsiTheme="majorBidi" w:cstheme="majorBidi"/>
              </w:rPr>
              <w:t>Total building sector</w:t>
            </w:r>
            <w:r>
              <w:rPr>
                <w:rFonts w:asciiTheme="majorBidi" w:hAnsiTheme="majorBidi" w:cstheme="majorBidi"/>
              </w:rPr>
              <w:tab/>
            </w:r>
          </w:p>
        </w:tc>
        <w:tc>
          <w:tcPr>
            <w:tcW w:w="563" w:type="pct"/>
            <w:tcBorders>
              <w:top w:val="single" w:sz="4" w:space="0" w:color="auto"/>
              <w:left w:val="single" w:sz="4" w:space="0" w:color="auto"/>
              <w:bottom w:val="single" w:sz="4" w:space="0" w:color="auto"/>
              <w:right w:val="single" w:sz="4" w:space="0" w:color="auto"/>
            </w:tcBorders>
            <w:vAlign w:val="bottom"/>
          </w:tcPr>
          <w:p w:rsidR="00264F56" w:rsidRPr="009636C0" w:rsidRDefault="001E01DC"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100.0</w:t>
            </w:r>
          </w:p>
        </w:tc>
        <w:tc>
          <w:tcPr>
            <w:tcW w:w="437"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216.7</w:t>
            </w:r>
          </w:p>
        </w:tc>
        <w:tc>
          <w:tcPr>
            <w:tcW w:w="562"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2.4</w:t>
            </w:r>
          </w:p>
        </w:tc>
        <w:tc>
          <w:tcPr>
            <w:tcW w:w="689"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12</w:t>
            </w:r>
          </w:p>
        </w:tc>
        <w:tc>
          <w:tcPr>
            <w:tcW w:w="686" w:type="pct"/>
            <w:tcBorders>
              <w:top w:val="single" w:sz="4" w:space="0" w:color="auto"/>
              <w:left w:val="single" w:sz="4" w:space="0" w:color="auto"/>
              <w:bottom w:val="single" w:sz="4" w:space="0" w:color="auto"/>
              <w:right w:val="single" w:sz="4" w:space="0" w:color="auto"/>
            </w:tcBorders>
            <w:vAlign w:val="bottom"/>
          </w:tcPr>
          <w:p w:rsidR="00264F56" w:rsidRPr="009636C0" w:rsidRDefault="00A3113D"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10.4</w:t>
            </w:r>
          </w:p>
        </w:tc>
      </w:tr>
      <w:tr w:rsidR="00264F56" w:rsidRPr="0046570A" w:rsidTr="004B1765">
        <w:trPr>
          <w:trHeight w:val="254"/>
        </w:trPr>
        <w:tc>
          <w:tcPr>
            <w:tcW w:w="2063" w:type="pct"/>
            <w:tcBorders>
              <w:top w:val="nil"/>
              <w:left w:val="nil"/>
              <w:bottom w:val="nil"/>
              <w:right w:val="single" w:sz="4" w:space="0" w:color="auto"/>
            </w:tcBorders>
            <w:vAlign w:val="center"/>
          </w:tcPr>
          <w:p w:rsidR="00264F56" w:rsidRPr="0046570A" w:rsidRDefault="00264F56" w:rsidP="00264F56">
            <w:pPr>
              <w:tabs>
                <w:tab w:val="left" w:leader="dot" w:pos="4309"/>
              </w:tabs>
              <w:spacing w:line="240" w:lineRule="exact"/>
              <w:rPr>
                <w:rFonts w:asciiTheme="majorBidi" w:hAnsiTheme="majorBidi" w:cstheme="majorBidi"/>
                <w:spacing w:val="-2"/>
                <w:lang w:bidi="fa-IR"/>
                <w14:numSpacing w14:val="proportional"/>
              </w:rPr>
            </w:pPr>
            <w:r w:rsidRPr="0046570A">
              <w:rPr>
                <w:rFonts w:asciiTheme="majorBidi" w:hAnsiTheme="majorBidi" w:cstheme="majorBidi"/>
                <w:spacing w:val="-2"/>
                <w:lang w:bidi="fa-IR"/>
                <w14:numSpacing w14:val="proportional"/>
              </w:rPr>
              <w:t>Cement, concrete, sand and fine sand group</w:t>
            </w:r>
            <w:r>
              <w:rPr>
                <w:rFonts w:asciiTheme="majorBidi" w:hAnsiTheme="majorBidi" w:cstheme="majorBidi"/>
                <w:spacing w:val="-2"/>
                <w:lang w:bidi="fa-IR"/>
                <w14:numSpacing w14:val="proportional"/>
              </w:rPr>
              <w:tab/>
            </w:r>
          </w:p>
        </w:tc>
        <w:tc>
          <w:tcPr>
            <w:tcW w:w="563" w:type="pct"/>
            <w:tcBorders>
              <w:top w:val="single" w:sz="4" w:space="0" w:color="auto"/>
              <w:left w:val="single" w:sz="4" w:space="0" w:color="auto"/>
              <w:bottom w:val="single" w:sz="4" w:space="0" w:color="auto"/>
              <w:right w:val="single" w:sz="4" w:space="0" w:color="auto"/>
            </w:tcBorders>
            <w:vAlign w:val="bottom"/>
          </w:tcPr>
          <w:p w:rsidR="00264F56" w:rsidRPr="009636C0" w:rsidRDefault="001E01DC"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13.72</w:t>
            </w:r>
          </w:p>
        </w:tc>
        <w:tc>
          <w:tcPr>
            <w:tcW w:w="437"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tl/>
                <w:lang w:bidi="fa-IR"/>
              </w:rPr>
            </w:pPr>
            <w:r>
              <w:rPr>
                <w:rFonts w:asciiTheme="majorBidi" w:hAnsiTheme="majorBidi" w:cstheme="majorBidi"/>
                <w:sz w:val="22"/>
                <w:szCs w:val="22"/>
                <w:lang w:bidi="fa-IR"/>
              </w:rPr>
              <w:t>218.4</w:t>
            </w:r>
          </w:p>
        </w:tc>
        <w:tc>
          <w:tcPr>
            <w:tcW w:w="562"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1.5</w:t>
            </w:r>
          </w:p>
        </w:tc>
        <w:tc>
          <w:tcPr>
            <w:tcW w:w="689"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1</w:t>
            </w:r>
            <w:r w:rsidR="0084183B">
              <w:rPr>
                <w:rFonts w:asciiTheme="majorBidi" w:hAnsiTheme="majorBidi" w:cstheme="majorBidi"/>
                <w:sz w:val="22"/>
                <w:szCs w:val="22"/>
                <w:lang w:bidi="fa-IR"/>
              </w:rPr>
              <w:t>5</w:t>
            </w:r>
            <w:r>
              <w:rPr>
                <w:rFonts w:asciiTheme="majorBidi" w:hAnsiTheme="majorBidi" w:cstheme="majorBidi"/>
                <w:sz w:val="22"/>
                <w:szCs w:val="22"/>
                <w:lang w:bidi="fa-IR"/>
              </w:rPr>
              <w:t>.5</w:t>
            </w:r>
          </w:p>
        </w:tc>
        <w:tc>
          <w:tcPr>
            <w:tcW w:w="686" w:type="pct"/>
            <w:tcBorders>
              <w:top w:val="single" w:sz="4" w:space="0" w:color="auto"/>
              <w:left w:val="single" w:sz="4" w:space="0" w:color="auto"/>
              <w:bottom w:val="single" w:sz="4" w:space="0" w:color="auto"/>
              <w:right w:val="single" w:sz="4" w:space="0" w:color="auto"/>
            </w:tcBorders>
            <w:vAlign w:val="bottom"/>
          </w:tcPr>
          <w:p w:rsidR="00264F56" w:rsidRPr="009636C0" w:rsidRDefault="00A3113D"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11.8</w:t>
            </w:r>
          </w:p>
        </w:tc>
      </w:tr>
      <w:tr w:rsidR="00264F56" w:rsidRPr="0046570A" w:rsidTr="004B1765">
        <w:tc>
          <w:tcPr>
            <w:tcW w:w="2063" w:type="pct"/>
            <w:tcBorders>
              <w:top w:val="nil"/>
              <w:left w:val="nil"/>
              <w:bottom w:val="nil"/>
              <w:right w:val="single" w:sz="4" w:space="0" w:color="auto"/>
            </w:tcBorders>
            <w:vAlign w:val="center"/>
          </w:tcPr>
          <w:p w:rsidR="00264F56" w:rsidRPr="0046570A" w:rsidRDefault="00264F56" w:rsidP="00264F56">
            <w:pPr>
              <w:tabs>
                <w:tab w:val="left" w:leader="dot" w:pos="4309"/>
              </w:tabs>
              <w:spacing w:line="240" w:lineRule="exact"/>
              <w:rPr>
                <w:rFonts w:asciiTheme="majorBidi" w:hAnsiTheme="majorBidi" w:cstheme="majorBidi"/>
                <w:rtl/>
                <w:lang w:bidi="fa-IR"/>
              </w:rPr>
            </w:pPr>
            <w:r w:rsidRPr="0046570A">
              <w:rPr>
                <w:rFonts w:asciiTheme="majorBidi" w:hAnsiTheme="majorBidi" w:cstheme="majorBidi"/>
              </w:rPr>
              <w:t>Plaster and plasterwork group</w:t>
            </w:r>
            <w:r>
              <w:rPr>
                <w:rFonts w:asciiTheme="majorBidi" w:hAnsiTheme="majorBidi" w:cstheme="majorBidi"/>
              </w:rPr>
              <w:tab/>
            </w:r>
          </w:p>
        </w:tc>
        <w:tc>
          <w:tcPr>
            <w:tcW w:w="563"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0.96</w:t>
            </w:r>
          </w:p>
        </w:tc>
        <w:tc>
          <w:tcPr>
            <w:tcW w:w="437"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202.2</w:t>
            </w:r>
          </w:p>
        </w:tc>
        <w:tc>
          <w:tcPr>
            <w:tcW w:w="562"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0.4</w:t>
            </w:r>
          </w:p>
        </w:tc>
        <w:tc>
          <w:tcPr>
            <w:tcW w:w="689"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2.3</w:t>
            </w:r>
          </w:p>
        </w:tc>
        <w:tc>
          <w:tcPr>
            <w:tcW w:w="686" w:type="pct"/>
            <w:tcBorders>
              <w:top w:val="single" w:sz="4" w:space="0" w:color="auto"/>
              <w:left w:val="single" w:sz="4" w:space="0" w:color="auto"/>
              <w:bottom w:val="single" w:sz="4" w:space="0" w:color="auto"/>
              <w:right w:val="single" w:sz="4" w:space="0" w:color="auto"/>
            </w:tcBorders>
            <w:vAlign w:val="bottom"/>
          </w:tcPr>
          <w:p w:rsidR="00264F56" w:rsidRPr="009636C0" w:rsidRDefault="00A3113D"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2.3</w:t>
            </w:r>
          </w:p>
        </w:tc>
      </w:tr>
      <w:tr w:rsidR="00264F56" w:rsidRPr="0046570A" w:rsidTr="004B1765">
        <w:tc>
          <w:tcPr>
            <w:tcW w:w="2063" w:type="pct"/>
            <w:tcBorders>
              <w:top w:val="nil"/>
              <w:left w:val="nil"/>
              <w:bottom w:val="nil"/>
              <w:right w:val="single" w:sz="4" w:space="0" w:color="auto"/>
            </w:tcBorders>
            <w:vAlign w:val="center"/>
          </w:tcPr>
          <w:p w:rsidR="00264F56" w:rsidRPr="0046570A" w:rsidRDefault="00264F56" w:rsidP="00264F56">
            <w:pPr>
              <w:tabs>
                <w:tab w:val="left" w:leader="dot" w:pos="4309"/>
              </w:tabs>
              <w:spacing w:line="240" w:lineRule="exact"/>
              <w:rPr>
                <w:rFonts w:asciiTheme="majorBidi" w:hAnsiTheme="majorBidi" w:cstheme="majorBidi"/>
                <w:rtl/>
                <w:lang w:bidi="fa-IR"/>
              </w:rPr>
            </w:pPr>
            <w:r w:rsidRPr="0046570A">
              <w:rPr>
                <w:rFonts w:asciiTheme="majorBidi" w:hAnsiTheme="majorBidi" w:cstheme="majorBidi"/>
              </w:rPr>
              <w:t>Variety of ceramic block and brick group</w:t>
            </w:r>
            <w:r>
              <w:rPr>
                <w:rFonts w:asciiTheme="majorBidi" w:hAnsiTheme="majorBidi" w:cstheme="majorBidi"/>
              </w:rPr>
              <w:tab/>
            </w:r>
            <w:r w:rsidRPr="0046570A">
              <w:rPr>
                <w:rFonts w:asciiTheme="majorBidi" w:hAnsiTheme="majorBidi" w:cstheme="majorBidi"/>
                <w:lang w:bidi="fa-IR"/>
              </w:rPr>
              <w:t xml:space="preserve"> </w:t>
            </w:r>
          </w:p>
        </w:tc>
        <w:tc>
          <w:tcPr>
            <w:tcW w:w="563"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5.21</w:t>
            </w:r>
          </w:p>
        </w:tc>
        <w:tc>
          <w:tcPr>
            <w:tcW w:w="437"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181.4</w:t>
            </w:r>
          </w:p>
        </w:tc>
        <w:tc>
          <w:tcPr>
            <w:tcW w:w="562"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1.4</w:t>
            </w:r>
          </w:p>
        </w:tc>
        <w:tc>
          <w:tcPr>
            <w:tcW w:w="689"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4.8</w:t>
            </w:r>
          </w:p>
        </w:tc>
        <w:tc>
          <w:tcPr>
            <w:tcW w:w="686" w:type="pct"/>
            <w:tcBorders>
              <w:top w:val="single" w:sz="4" w:space="0" w:color="auto"/>
              <w:left w:val="single" w:sz="4" w:space="0" w:color="auto"/>
              <w:bottom w:val="single" w:sz="4" w:space="0" w:color="auto"/>
              <w:right w:val="single" w:sz="4" w:space="0" w:color="auto"/>
            </w:tcBorders>
            <w:vAlign w:val="bottom"/>
          </w:tcPr>
          <w:p w:rsidR="00264F56" w:rsidRPr="009636C0" w:rsidRDefault="00A3113D" w:rsidP="001E01DC">
            <w:pPr>
              <w:spacing w:line="240" w:lineRule="exact"/>
              <w:ind w:left="-536"/>
              <w:jc w:val="center"/>
              <w:rPr>
                <w:rFonts w:asciiTheme="majorBidi" w:hAnsiTheme="majorBidi" w:cstheme="majorBidi"/>
                <w:sz w:val="22"/>
                <w:szCs w:val="22"/>
                <w:lang w:bidi="fa-IR"/>
              </w:rPr>
            </w:pPr>
            <w:r>
              <w:rPr>
                <w:rFonts w:asciiTheme="majorBidi" w:hAnsiTheme="majorBidi" w:cstheme="majorBidi"/>
                <w:sz w:val="22"/>
                <w:szCs w:val="22"/>
                <w:lang w:bidi="fa-IR"/>
              </w:rPr>
              <w:t xml:space="preserve">        4.5</w:t>
            </w:r>
          </w:p>
        </w:tc>
      </w:tr>
      <w:tr w:rsidR="00264F56" w:rsidRPr="0046570A" w:rsidTr="004B1765">
        <w:tc>
          <w:tcPr>
            <w:tcW w:w="2063" w:type="pct"/>
            <w:tcBorders>
              <w:top w:val="nil"/>
              <w:left w:val="nil"/>
              <w:bottom w:val="nil"/>
              <w:right w:val="single" w:sz="4" w:space="0" w:color="auto"/>
            </w:tcBorders>
            <w:vAlign w:val="center"/>
          </w:tcPr>
          <w:p w:rsidR="00264F56" w:rsidRPr="0046570A" w:rsidRDefault="00264F56" w:rsidP="00264F56">
            <w:pPr>
              <w:tabs>
                <w:tab w:val="left" w:leader="dot" w:pos="4309"/>
              </w:tabs>
              <w:spacing w:line="240" w:lineRule="exact"/>
              <w:rPr>
                <w:rFonts w:asciiTheme="majorBidi" w:hAnsiTheme="majorBidi" w:cstheme="majorBidi"/>
                <w:rtl/>
                <w:lang w:bidi="fa-IR"/>
              </w:rPr>
            </w:pPr>
            <w:r w:rsidRPr="0046570A">
              <w:rPr>
                <w:rFonts w:asciiTheme="majorBidi" w:hAnsiTheme="majorBidi" w:cstheme="majorBidi"/>
              </w:rPr>
              <w:t>Mosaic, tile and ceramic group</w:t>
            </w:r>
            <w:r>
              <w:rPr>
                <w:rFonts w:asciiTheme="majorBidi" w:hAnsiTheme="majorBidi" w:cstheme="majorBidi"/>
              </w:rPr>
              <w:tab/>
            </w:r>
          </w:p>
        </w:tc>
        <w:tc>
          <w:tcPr>
            <w:tcW w:w="563"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2.96</w:t>
            </w:r>
          </w:p>
        </w:tc>
        <w:tc>
          <w:tcPr>
            <w:tcW w:w="437"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tl/>
                <w:lang w:bidi="fa-IR"/>
              </w:rPr>
            </w:pPr>
            <w:r>
              <w:rPr>
                <w:rFonts w:asciiTheme="majorBidi" w:hAnsiTheme="majorBidi" w:cstheme="majorBidi"/>
                <w:sz w:val="22"/>
                <w:szCs w:val="22"/>
                <w:lang w:bidi="fa-IR"/>
              </w:rPr>
              <w:t>192.4</w:t>
            </w:r>
          </w:p>
        </w:tc>
        <w:tc>
          <w:tcPr>
            <w:tcW w:w="562"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1.2</w:t>
            </w:r>
          </w:p>
        </w:tc>
        <w:tc>
          <w:tcPr>
            <w:tcW w:w="689"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7.1</w:t>
            </w:r>
          </w:p>
        </w:tc>
        <w:tc>
          <w:tcPr>
            <w:tcW w:w="686" w:type="pct"/>
            <w:tcBorders>
              <w:top w:val="single" w:sz="4" w:space="0" w:color="auto"/>
              <w:left w:val="single" w:sz="4" w:space="0" w:color="auto"/>
              <w:bottom w:val="single" w:sz="4" w:space="0" w:color="auto"/>
              <w:right w:val="single" w:sz="4" w:space="0" w:color="auto"/>
            </w:tcBorders>
            <w:vAlign w:val="bottom"/>
          </w:tcPr>
          <w:p w:rsidR="00264F56" w:rsidRPr="009636C0" w:rsidRDefault="00A3113D" w:rsidP="001E01DC">
            <w:pPr>
              <w:spacing w:line="240" w:lineRule="exact"/>
              <w:ind w:left="-394"/>
              <w:jc w:val="center"/>
              <w:rPr>
                <w:rFonts w:asciiTheme="majorBidi" w:hAnsiTheme="majorBidi" w:cstheme="majorBidi"/>
                <w:sz w:val="22"/>
                <w:szCs w:val="22"/>
                <w:lang w:bidi="fa-IR"/>
              </w:rPr>
            </w:pPr>
            <w:r>
              <w:rPr>
                <w:rFonts w:asciiTheme="majorBidi" w:hAnsiTheme="majorBidi" w:cstheme="majorBidi"/>
                <w:sz w:val="22"/>
                <w:szCs w:val="22"/>
                <w:lang w:bidi="fa-IR"/>
              </w:rPr>
              <w:t xml:space="preserve">        4.7</w:t>
            </w:r>
          </w:p>
        </w:tc>
      </w:tr>
      <w:tr w:rsidR="00264F56" w:rsidRPr="0046570A" w:rsidTr="004B1765">
        <w:tc>
          <w:tcPr>
            <w:tcW w:w="2063" w:type="pct"/>
            <w:tcBorders>
              <w:top w:val="nil"/>
              <w:left w:val="nil"/>
              <w:bottom w:val="nil"/>
              <w:right w:val="single" w:sz="4" w:space="0" w:color="auto"/>
            </w:tcBorders>
            <w:vAlign w:val="center"/>
          </w:tcPr>
          <w:p w:rsidR="00264F56" w:rsidRPr="0046570A" w:rsidRDefault="00264F56" w:rsidP="00264F56">
            <w:pPr>
              <w:tabs>
                <w:tab w:val="left" w:leader="dot" w:pos="4309"/>
              </w:tabs>
              <w:spacing w:line="240" w:lineRule="exact"/>
              <w:rPr>
                <w:rFonts w:asciiTheme="majorBidi" w:hAnsiTheme="majorBidi" w:cstheme="majorBidi"/>
                <w:rtl/>
                <w:lang w:bidi="fa-IR"/>
              </w:rPr>
            </w:pPr>
            <w:r w:rsidRPr="0046570A">
              <w:rPr>
                <w:rFonts w:asciiTheme="majorBidi" w:hAnsiTheme="majorBidi" w:cstheme="majorBidi"/>
              </w:rPr>
              <w:t>Stone group</w:t>
            </w:r>
            <w:r>
              <w:rPr>
                <w:rFonts w:asciiTheme="majorBidi" w:hAnsiTheme="majorBidi" w:cstheme="majorBidi"/>
              </w:rPr>
              <w:tab/>
            </w:r>
          </w:p>
        </w:tc>
        <w:tc>
          <w:tcPr>
            <w:tcW w:w="563"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9.78</w:t>
            </w:r>
          </w:p>
        </w:tc>
        <w:tc>
          <w:tcPr>
            <w:tcW w:w="437"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207.0</w:t>
            </w:r>
          </w:p>
        </w:tc>
        <w:tc>
          <w:tcPr>
            <w:tcW w:w="562"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1.0</w:t>
            </w:r>
          </w:p>
        </w:tc>
        <w:tc>
          <w:tcPr>
            <w:tcW w:w="689" w:type="pct"/>
            <w:tcBorders>
              <w:top w:val="single" w:sz="4" w:space="0" w:color="auto"/>
              <w:left w:val="single" w:sz="4" w:space="0" w:color="auto"/>
              <w:bottom w:val="single" w:sz="4" w:space="0" w:color="auto"/>
              <w:right w:val="single" w:sz="4" w:space="0" w:color="auto"/>
            </w:tcBorders>
            <w:vAlign w:val="bottom"/>
          </w:tcPr>
          <w:p w:rsidR="00264F56" w:rsidRPr="009636C0" w:rsidRDefault="00A3113D"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-0.5</w:t>
            </w:r>
          </w:p>
        </w:tc>
        <w:tc>
          <w:tcPr>
            <w:tcW w:w="686" w:type="pct"/>
            <w:tcBorders>
              <w:top w:val="single" w:sz="4" w:space="0" w:color="auto"/>
              <w:left w:val="single" w:sz="4" w:space="0" w:color="auto"/>
              <w:bottom w:val="single" w:sz="4" w:space="0" w:color="auto"/>
              <w:right w:val="single" w:sz="4" w:space="0" w:color="auto"/>
            </w:tcBorders>
            <w:vAlign w:val="bottom"/>
          </w:tcPr>
          <w:p w:rsidR="00264F56" w:rsidRPr="009636C0" w:rsidRDefault="00A3113D"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-0.5</w:t>
            </w:r>
          </w:p>
        </w:tc>
      </w:tr>
      <w:tr w:rsidR="00264F56" w:rsidRPr="0046570A" w:rsidTr="004B1765">
        <w:tc>
          <w:tcPr>
            <w:tcW w:w="2063" w:type="pct"/>
            <w:tcBorders>
              <w:top w:val="nil"/>
              <w:left w:val="nil"/>
              <w:bottom w:val="nil"/>
              <w:right w:val="single" w:sz="4" w:space="0" w:color="auto"/>
            </w:tcBorders>
            <w:vAlign w:val="center"/>
          </w:tcPr>
          <w:p w:rsidR="00264F56" w:rsidRPr="0046570A" w:rsidRDefault="00264F56" w:rsidP="00264F56">
            <w:pPr>
              <w:tabs>
                <w:tab w:val="left" w:leader="dot" w:pos="4309"/>
              </w:tabs>
              <w:spacing w:line="240" w:lineRule="exact"/>
              <w:rPr>
                <w:rFonts w:asciiTheme="majorBidi" w:hAnsiTheme="majorBidi" w:cstheme="majorBidi"/>
              </w:rPr>
            </w:pPr>
            <w:r w:rsidRPr="0046570A">
              <w:rPr>
                <w:rFonts w:asciiTheme="majorBidi" w:hAnsiTheme="majorBidi" w:cstheme="majorBidi"/>
              </w:rPr>
              <w:t>Steels, rebar, profiles for doors and windows and fence group</w:t>
            </w:r>
            <w:r>
              <w:rPr>
                <w:rFonts w:asciiTheme="majorBidi" w:hAnsiTheme="majorBidi" w:cstheme="majorBidi"/>
              </w:rPr>
              <w:tab/>
            </w:r>
          </w:p>
        </w:tc>
        <w:tc>
          <w:tcPr>
            <w:tcW w:w="563"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19.3</w:t>
            </w:r>
          </w:p>
        </w:tc>
        <w:tc>
          <w:tcPr>
            <w:tcW w:w="437"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196.8</w:t>
            </w:r>
          </w:p>
        </w:tc>
        <w:tc>
          <w:tcPr>
            <w:tcW w:w="562"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3.5</w:t>
            </w:r>
          </w:p>
        </w:tc>
        <w:tc>
          <w:tcPr>
            <w:tcW w:w="689" w:type="pct"/>
            <w:tcBorders>
              <w:top w:val="single" w:sz="4" w:space="0" w:color="auto"/>
              <w:left w:val="single" w:sz="4" w:space="0" w:color="auto"/>
              <w:bottom w:val="single" w:sz="4" w:space="0" w:color="auto"/>
              <w:right w:val="single" w:sz="4" w:space="0" w:color="auto"/>
            </w:tcBorders>
            <w:vAlign w:val="bottom"/>
          </w:tcPr>
          <w:p w:rsidR="00264F56" w:rsidRPr="009636C0" w:rsidRDefault="00A3113D"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28.9</w:t>
            </w:r>
          </w:p>
        </w:tc>
        <w:tc>
          <w:tcPr>
            <w:tcW w:w="686" w:type="pct"/>
            <w:tcBorders>
              <w:top w:val="single" w:sz="4" w:space="0" w:color="auto"/>
              <w:left w:val="single" w:sz="4" w:space="0" w:color="auto"/>
              <w:bottom w:val="single" w:sz="4" w:space="0" w:color="auto"/>
              <w:right w:val="single" w:sz="4" w:space="0" w:color="auto"/>
            </w:tcBorders>
            <w:vAlign w:val="bottom"/>
          </w:tcPr>
          <w:p w:rsidR="00264F56" w:rsidRPr="009636C0" w:rsidRDefault="00A3113D"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27.5</w:t>
            </w:r>
          </w:p>
        </w:tc>
      </w:tr>
      <w:tr w:rsidR="00264F56" w:rsidRPr="0046570A" w:rsidTr="004B1765">
        <w:tc>
          <w:tcPr>
            <w:tcW w:w="2063" w:type="pct"/>
            <w:tcBorders>
              <w:top w:val="nil"/>
              <w:left w:val="nil"/>
              <w:bottom w:val="nil"/>
              <w:right w:val="single" w:sz="4" w:space="0" w:color="auto"/>
            </w:tcBorders>
            <w:vAlign w:val="center"/>
          </w:tcPr>
          <w:p w:rsidR="00264F56" w:rsidRPr="0046570A" w:rsidRDefault="00264F56" w:rsidP="00264F56">
            <w:pPr>
              <w:tabs>
                <w:tab w:val="left" w:leader="dot" w:pos="4309"/>
              </w:tabs>
              <w:spacing w:line="240" w:lineRule="exact"/>
              <w:rPr>
                <w:rFonts w:asciiTheme="majorBidi" w:hAnsiTheme="majorBidi" w:cstheme="majorBidi"/>
                <w:rtl/>
                <w:lang w:bidi="fa-IR"/>
              </w:rPr>
            </w:pPr>
            <w:r w:rsidRPr="0046570A">
              <w:rPr>
                <w:rFonts w:asciiTheme="majorBidi" w:hAnsiTheme="majorBidi" w:cstheme="majorBidi"/>
              </w:rPr>
              <w:t>Wood group</w:t>
            </w:r>
            <w:r>
              <w:rPr>
                <w:rFonts w:asciiTheme="majorBidi" w:hAnsiTheme="majorBidi" w:cstheme="majorBidi"/>
              </w:rPr>
              <w:tab/>
            </w:r>
          </w:p>
        </w:tc>
        <w:tc>
          <w:tcPr>
            <w:tcW w:w="563"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7.79</w:t>
            </w:r>
          </w:p>
        </w:tc>
        <w:tc>
          <w:tcPr>
            <w:tcW w:w="437"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D84191">
            <w:pPr>
              <w:spacing w:line="240" w:lineRule="exact"/>
              <w:jc w:val="center"/>
              <w:rPr>
                <w:rFonts w:asciiTheme="majorBidi" w:hAnsiTheme="majorBidi" w:cstheme="majorBidi"/>
                <w:sz w:val="22"/>
                <w:szCs w:val="22"/>
              </w:rPr>
            </w:pPr>
            <w:r>
              <w:rPr>
                <w:rFonts w:asciiTheme="majorBidi" w:hAnsiTheme="majorBidi" w:cstheme="majorBidi"/>
                <w:sz w:val="22"/>
                <w:szCs w:val="22"/>
              </w:rPr>
              <w:t>207.</w:t>
            </w:r>
            <w:r w:rsidR="00D84191">
              <w:rPr>
                <w:rFonts w:asciiTheme="majorBidi" w:hAnsiTheme="majorBidi" w:cstheme="majorBidi"/>
                <w:sz w:val="22"/>
                <w:szCs w:val="22"/>
              </w:rPr>
              <w:t xml:space="preserve"> </w:t>
            </w:r>
            <w:r>
              <w:rPr>
                <w:rFonts w:asciiTheme="majorBidi" w:hAnsiTheme="majorBidi" w:cstheme="majorBidi"/>
                <w:sz w:val="22"/>
                <w:szCs w:val="22"/>
              </w:rPr>
              <w:t>5</w:t>
            </w:r>
          </w:p>
        </w:tc>
        <w:tc>
          <w:tcPr>
            <w:tcW w:w="562"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6.0</w:t>
            </w:r>
          </w:p>
        </w:tc>
        <w:tc>
          <w:tcPr>
            <w:tcW w:w="689" w:type="pct"/>
            <w:tcBorders>
              <w:top w:val="single" w:sz="4" w:space="0" w:color="auto"/>
              <w:left w:val="single" w:sz="4" w:space="0" w:color="auto"/>
              <w:bottom w:val="single" w:sz="4" w:space="0" w:color="auto"/>
              <w:right w:val="single" w:sz="4" w:space="0" w:color="auto"/>
            </w:tcBorders>
            <w:vAlign w:val="bottom"/>
          </w:tcPr>
          <w:p w:rsidR="00264F56" w:rsidRPr="009636C0" w:rsidRDefault="00A3113D"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12.7</w:t>
            </w:r>
          </w:p>
        </w:tc>
        <w:tc>
          <w:tcPr>
            <w:tcW w:w="686" w:type="pct"/>
            <w:tcBorders>
              <w:top w:val="single" w:sz="4" w:space="0" w:color="auto"/>
              <w:left w:val="single" w:sz="4" w:space="0" w:color="auto"/>
              <w:bottom w:val="single" w:sz="4" w:space="0" w:color="auto"/>
              <w:right w:val="single" w:sz="4" w:space="0" w:color="auto"/>
            </w:tcBorders>
            <w:vAlign w:val="bottom"/>
          </w:tcPr>
          <w:p w:rsidR="00264F56" w:rsidRPr="009636C0" w:rsidRDefault="00A3113D"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10.7</w:t>
            </w:r>
          </w:p>
        </w:tc>
      </w:tr>
      <w:tr w:rsidR="00264F56" w:rsidRPr="0046570A" w:rsidTr="004B1765">
        <w:trPr>
          <w:trHeight w:val="382"/>
        </w:trPr>
        <w:tc>
          <w:tcPr>
            <w:tcW w:w="2063" w:type="pct"/>
            <w:tcBorders>
              <w:top w:val="nil"/>
              <w:left w:val="nil"/>
              <w:bottom w:val="nil"/>
              <w:right w:val="single" w:sz="4" w:space="0" w:color="auto"/>
            </w:tcBorders>
            <w:vAlign w:val="center"/>
          </w:tcPr>
          <w:p w:rsidR="00264F56" w:rsidRPr="0046570A" w:rsidRDefault="00264F56" w:rsidP="00264F56">
            <w:pPr>
              <w:tabs>
                <w:tab w:val="left" w:leader="dot" w:pos="4309"/>
              </w:tabs>
              <w:spacing w:line="240" w:lineRule="exact"/>
              <w:rPr>
                <w:rFonts w:asciiTheme="majorBidi" w:hAnsiTheme="majorBidi" w:cstheme="majorBidi"/>
                <w:rtl/>
                <w:lang w:bidi="fa-IR"/>
              </w:rPr>
            </w:pPr>
            <w:r>
              <w:rPr>
                <w:rFonts w:asciiTheme="majorBidi" w:hAnsiTheme="majorBidi" w:cstheme="majorBidi"/>
              </w:rPr>
              <w:t>B</w:t>
            </w:r>
            <w:r w:rsidRPr="004C6A48">
              <w:rPr>
                <w:rFonts w:asciiTheme="majorBidi" w:hAnsiTheme="majorBidi" w:cstheme="majorBidi"/>
              </w:rPr>
              <w:t xml:space="preserve">ituminous waterproofing membrane, tar paper, and asphalt </w:t>
            </w:r>
            <w:r w:rsidRPr="0046570A">
              <w:rPr>
                <w:rFonts w:asciiTheme="majorBidi" w:hAnsiTheme="majorBidi" w:cstheme="majorBidi"/>
              </w:rPr>
              <w:t xml:space="preserve"> group</w:t>
            </w:r>
            <w:r>
              <w:rPr>
                <w:rFonts w:asciiTheme="majorBidi" w:hAnsiTheme="majorBidi" w:cstheme="majorBidi"/>
              </w:rPr>
              <w:tab/>
            </w:r>
          </w:p>
        </w:tc>
        <w:tc>
          <w:tcPr>
            <w:tcW w:w="563"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1.31</w:t>
            </w:r>
          </w:p>
        </w:tc>
        <w:tc>
          <w:tcPr>
            <w:tcW w:w="437"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210.6</w:t>
            </w:r>
          </w:p>
        </w:tc>
        <w:tc>
          <w:tcPr>
            <w:tcW w:w="562"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11.0</w:t>
            </w:r>
          </w:p>
        </w:tc>
        <w:tc>
          <w:tcPr>
            <w:tcW w:w="689" w:type="pct"/>
            <w:tcBorders>
              <w:top w:val="single" w:sz="4" w:space="0" w:color="auto"/>
              <w:left w:val="single" w:sz="4" w:space="0" w:color="auto"/>
              <w:bottom w:val="single" w:sz="4" w:space="0" w:color="auto"/>
              <w:right w:val="single" w:sz="4" w:space="0" w:color="auto"/>
            </w:tcBorders>
            <w:vAlign w:val="bottom"/>
          </w:tcPr>
          <w:p w:rsidR="00264F56" w:rsidRPr="009636C0" w:rsidRDefault="00A3113D"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8.0</w:t>
            </w:r>
          </w:p>
        </w:tc>
        <w:tc>
          <w:tcPr>
            <w:tcW w:w="686" w:type="pct"/>
            <w:tcBorders>
              <w:top w:val="single" w:sz="4" w:space="0" w:color="auto"/>
              <w:left w:val="single" w:sz="4" w:space="0" w:color="auto"/>
              <w:bottom w:val="single" w:sz="4" w:space="0" w:color="auto"/>
              <w:right w:val="single" w:sz="4" w:space="0" w:color="auto"/>
            </w:tcBorders>
            <w:vAlign w:val="bottom"/>
          </w:tcPr>
          <w:p w:rsidR="00264F56" w:rsidRPr="009636C0" w:rsidRDefault="00A3113D"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5.5</w:t>
            </w:r>
          </w:p>
        </w:tc>
      </w:tr>
      <w:tr w:rsidR="00264F56" w:rsidRPr="0046570A" w:rsidTr="004B1765">
        <w:tc>
          <w:tcPr>
            <w:tcW w:w="2063" w:type="pct"/>
            <w:tcBorders>
              <w:top w:val="nil"/>
              <w:left w:val="nil"/>
              <w:bottom w:val="nil"/>
              <w:right w:val="single" w:sz="4" w:space="0" w:color="auto"/>
            </w:tcBorders>
            <w:vAlign w:val="center"/>
          </w:tcPr>
          <w:p w:rsidR="00264F56" w:rsidRPr="0046570A" w:rsidRDefault="00264F56" w:rsidP="00264F56">
            <w:pPr>
              <w:tabs>
                <w:tab w:val="left" w:leader="dot" w:pos="4309"/>
              </w:tabs>
              <w:spacing w:line="240" w:lineRule="exact"/>
              <w:rPr>
                <w:rFonts w:asciiTheme="majorBidi" w:hAnsiTheme="majorBidi" w:cstheme="majorBidi"/>
                <w:rtl/>
              </w:rPr>
            </w:pPr>
            <w:r w:rsidRPr="004C6A48">
              <w:rPr>
                <w:rFonts w:asciiTheme="majorBidi" w:hAnsiTheme="majorBidi" w:cstheme="majorBidi"/>
              </w:rPr>
              <w:t>Tapware</w:t>
            </w:r>
            <w:r w:rsidRPr="0046570A">
              <w:rPr>
                <w:rFonts w:asciiTheme="majorBidi" w:hAnsiTheme="majorBidi" w:cstheme="majorBidi"/>
              </w:rPr>
              <w:t xml:space="preserve">  group</w:t>
            </w:r>
            <w:r>
              <w:rPr>
                <w:rFonts w:asciiTheme="majorBidi" w:hAnsiTheme="majorBidi" w:cstheme="majorBidi"/>
              </w:rPr>
              <w:tab/>
            </w:r>
          </w:p>
        </w:tc>
        <w:tc>
          <w:tcPr>
            <w:tcW w:w="563"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1.31</w:t>
            </w:r>
          </w:p>
        </w:tc>
        <w:tc>
          <w:tcPr>
            <w:tcW w:w="437"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292.3</w:t>
            </w:r>
          </w:p>
        </w:tc>
        <w:tc>
          <w:tcPr>
            <w:tcW w:w="562"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6.0</w:t>
            </w:r>
          </w:p>
        </w:tc>
        <w:tc>
          <w:tcPr>
            <w:tcW w:w="689" w:type="pct"/>
            <w:tcBorders>
              <w:top w:val="single" w:sz="4" w:space="0" w:color="auto"/>
              <w:left w:val="single" w:sz="4" w:space="0" w:color="auto"/>
              <w:bottom w:val="single" w:sz="4" w:space="0" w:color="auto"/>
              <w:right w:val="single" w:sz="4" w:space="0" w:color="auto"/>
            </w:tcBorders>
            <w:vAlign w:val="bottom"/>
          </w:tcPr>
          <w:p w:rsidR="00264F56" w:rsidRPr="009636C0" w:rsidRDefault="00A3113D"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19.6</w:t>
            </w:r>
          </w:p>
        </w:tc>
        <w:tc>
          <w:tcPr>
            <w:tcW w:w="686" w:type="pct"/>
            <w:tcBorders>
              <w:top w:val="single" w:sz="4" w:space="0" w:color="auto"/>
              <w:left w:val="single" w:sz="4" w:space="0" w:color="auto"/>
              <w:bottom w:val="single" w:sz="4" w:space="0" w:color="auto"/>
              <w:right w:val="single" w:sz="4" w:space="0" w:color="auto"/>
            </w:tcBorders>
            <w:vAlign w:val="bottom"/>
          </w:tcPr>
          <w:p w:rsidR="00264F56" w:rsidRPr="009636C0" w:rsidRDefault="00A3113D"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16.8</w:t>
            </w:r>
          </w:p>
        </w:tc>
      </w:tr>
      <w:tr w:rsidR="00264F56" w:rsidRPr="0046570A" w:rsidTr="004B1765">
        <w:tc>
          <w:tcPr>
            <w:tcW w:w="2063" w:type="pct"/>
            <w:tcBorders>
              <w:top w:val="nil"/>
              <w:left w:val="nil"/>
              <w:bottom w:val="nil"/>
              <w:right w:val="single" w:sz="4" w:space="0" w:color="auto"/>
            </w:tcBorders>
            <w:vAlign w:val="center"/>
          </w:tcPr>
          <w:p w:rsidR="00264F56" w:rsidRPr="0046570A" w:rsidRDefault="00264F56" w:rsidP="00264F56">
            <w:pPr>
              <w:tabs>
                <w:tab w:val="left" w:leader="dot" w:pos="4309"/>
              </w:tabs>
              <w:spacing w:line="240" w:lineRule="exact"/>
              <w:rPr>
                <w:rFonts w:asciiTheme="majorBidi" w:hAnsiTheme="majorBidi" w:cstheme="majorBidi"/>
                <w:rtl/>
                <w:lang w:bidi="fa-IR"/>
              </w:rPr>
            </w:pPr>
            <w:r>
              <w:rPr>
                <w:rFonts w:asciiTheme="majorBidi" w:hAnsiTheme="majorBidi" w:cstheme="majorBidi"/>
              </w:rPr>
              <w:t>M</w:t>
            </w:r>
            <w:r w:rsidRPr="004C6A48">
              <w:rPr>
                <w:rFonts w:asciiTheme="majorBidi" w:hAnsiTheme="majorBidi" w:cstheme="majorBidi"/>
              </w:rPr>
              <w:t>echanical installations and thermal insulations</w:t>
            </w:r>
            <w:r w:rsidRPr="0046570A">
              <w:rPr>
                <w:rFonts w:asciiTheme="majorBidi" w:hAnsiTheme="majorBidi" w:cstheme="majorBidi"/>
              </w:rPr>
              <w:t xml:space="preserve">  group</w:t>
            </w:r>
            <w:r>
              <w:rPr>
                <w:rFonts w:asciiTheme="majorBidi" w:hAnsiTheme="majorBidi" w:cstheme="majorBidi"/>
              </w:rPr>
              <w:tab/>
            </w:r>
          </w:p>
        </w:tc>
        <w:tc>
          <w:tcPr>
            <w:tcW w:w="563"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3.25</w:t>
            </w:r>
          </w:p>
        </w:tc>
        <w:tc>
          <w:tcPr>
            <w:tcW w:w="437"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242.2</w:t>
            </w:r>
          </w:p>
        </w:tc>
        <w:tc>
          <w:tcPr>
            <w:tcW w:w="562"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7.2</w:t>
            </w:r>
          </w:p>
        </w:tc>
        <w:tc>
          <w:tcPr>
            <w:tcW w:w="689" w:type="pct"/>
            <w:tcBorders>
              <w:top w:val="single" w:sz="4" w:space="0" w:color="auto"/>
              <w:left w:val="single" w:sz="4" w:space="0" w:color="auto"/>
              <w:bottom w:val="single" w:sz="4" w:space="0" w:color="auto"/>
              <w:right w:val="single" w:sz="4" w:space="0" w:color="auto"/>
            </w:tcBorders>
            <w:vAlign w:val="bottom"/>
          </w:tcPr>
          <w:p w:rsidR="00264F56" w:rsidRPr="009636C0" w:rsidRDefault="00A3113D"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12.3</w:t>
            </w:r>
          </w:p>
        </w:tc>
        <w:tc>
          <w:tcPr>
            <w:tcW w:w="686" w:type="pct"/>
            <w:tcBorders>
              <w:top w:val="single" w:sz="4" w:space="0" w:color="auto"/>
              <w:left w:val="single" w:sz="4" w:space="0" w:color="auto"/>
              <w:bottom w:val="single" w:sz="4" w:space="0" w:color="auto"/>
              <w:right w:val="single" w:sz="4" w:space="0" w:color="auto"/>
            </w:tcBorders>
            <w:vAlign w:val="bottom"/>
          </w:tcPr>
          <w:p w:rsidR="00264F56" w:rsidRPr="009636C0" w:rsidRDefault="00A3113D"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9.6</w:t>
            </w:r>
          </w:p>
        </w:tc>
      </w:tr>
      <w:tr w:rsidR="00264F56" w:rsidRPr="0046570A" w:rsidTr="004B1765">
        <w:tc>
          <w:tcPr>
            <w:tcW w:w="2063" w:type="pct"/>
            <w:tcBorders>
              <w:top w:val="nil"/>
              <w:left w:val="nil"/>
              <w:bottom w:val="nil"/>
              <w:right w:val="single" w:sz="4" w:space="0" w:color="auto"/>
            </w:tcBorders>
            <w:vAlign w:val="center"/>
          </w:tcPr>
          <w:p w:rsidR="00264F56" w:rsidRPr="0046570A" w:rsidRDefault="00264F56" w:rsidP="00264F56">
            <w:pPr>
              <w:tabs>
                <w:tab w:val="left" w:leader="dot" w:pos="4309"/>
              </w:tabs>
              <w:spacing w:line="240" w:lineRule="exact"/>
              <w:rPr>
                <w:rFonts w:asciiTheme="majorBidi" w:hAnsiTheme="majorBidi" w:cstheme="majorBidi"/>
                <w:rtl/>
                <w:lang w:bidi="fa-IR"/>
              </w:rPr>
            </w:pPr>
            <w:r w:rsidRPr="004C6A48">
              <w:rPr>
                <w:rFonts w:asciiTheme="majorBidi" w:hAnsiTheme="majorBidi" w:cstheme="majorBidi"/>
              </w:rPr>
              <w:t>Door and window hardware</w:t>
            </w:r>
            <w:r w:rsidRPr="0046570A">
              <w:rPr>
                <w:rFonts w:asciiTheme="majorBidi" w:hAnsiTheme="majorBidi" w:cstheme="majorBidi"/>
              </w:rPr>
              <w:t xml:space="preserve">  group</w:t>
            </w:r>
            <w:r>
              <w:rPr>
                <w:rFonts w:asciiTheme="majorBidi" w:hAnsiTheme="majorBidi" w:cstheme="majorBidi"/>
              </w:rPr>
              <w:tab/>
            </w:r>
          </w:p>
        </w:tc>
        <w:tc>
          <w:tcPr>
            <w:tcW w:w="563"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2.64</w:t>
            </w:r>
          </w:p>
        </w:tc>
        <w:tc>
          <w:tcPr>
            <w:tcW w:w="437"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266.0</w:t>
            </w:r>
          </w:p>
        </w:tc>
        <w:tc>
          <w:tcPr>
            <w:tcW w:w="562"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7.1</w:t>
            </w:r>
          </w:p>
        </w:tc>
        <w:tc>
          <w:tcPr>
            <w:tcW w:w="689" w:type="pct"/>
            <w:tcBorders>
              <w:top w:val="single" w:sz="4" w:space="0" w:color="auto"/>
              <w:left w:val="single" w:sz="4" w:space="0" w:color="auto"/>
              <w:bottom w:val="single" w:sz="4" w:space="0" w:color="auto"/>
              <w:right w:val="single" w:sz="4" w:space="0" w:color="auto"/>
            </w:tcBorders>
            <w:vAlign w:val="bottom"/>
          </w:tcPr>
          <w:p w:rsidR="00264F56" w:rsidRPr="009636C0" w:rsidRDefault="00A3113D"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8.8</w:t>
            </w:r>
          </w:p>
        </w:tc>
        <w:tc>
          <w:tcPr>
            <w:tcW w:w="686" w:type="pct"/>
            <w:tcBorders>
              <w:top w:val="single" w:sz="4" w:space="0" w:color="auto"/>
              <w:left w:val="single" w:sz="4" w:space="0" w:color="auto"/>
              <w:bottom w:val="single" w:sz="4" w:space="0" w:color="auto"/>
              <w:right w:val="single" w:sz="4" w:space="0" w:color="auto"/>
            </w:tcBorders>
            <w:vAlign w:val="bottom"/>
          </w:tcPr>
          <w:p w:rsidR="00264F56" w:rsidRPr="009636C0" w:rsidRDefault="00A3113D"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6.9</w:t>
            </w:r>
          </w:p>
        </w:tc>
      </w:tr>
      <w:tr w:rsidR="00A3113D" w:rsidRPr="0046570A" w:rsidTr="004B1765">
        <w:tc>
          <w:tcPr>
            <w:tcW w:w="2063" w:type="pct"/>
            <w:tcBorders>
              <w:top w:val="nil"/>
              <w:left w:val="nil"/>
              <w:bottom w:val="nil"/>
              <w:right w:val="single" w:sz="4" w:space="0" w:color="auto"/>
            </w:tcBorders>
            <w:vAlign w:val="center"/>
          </w:tcPr>
          <w:p w:rsidR="00A3113D" w:rsidRPr="0046570A" w:rsidRDefault="00A3113D" w:rsidP="00A3113D">
            <w:pPr>
              <w:tabs>
                <w:tab w:val="left" w:leader="dot" w:pos="4309"/>
              </w:tabs>
              <w:spacing w:line="240" w:lineRule="exact"/>
              <w:rPr>
                <w:rFonts w:asciiTheme="majorBidi" w:hAnsiTheme="majorBidi" w:cstheme="majorBidi"/>
                <w:rtl/>
                <w:lang w:bidi="fa-IR"/>
              </w:rPr>
            </w:pPr>
            <w:r w:rsidRPr="0046570A">
              <w:rPr>
                <w:rFonts w:asciiTheme="majorBidi" w:hAnsiTheme="majorBidi" w:cstheme="majorBidi"/>
              </w:rPr>
              <w:t>Building painting group</w:t>
            </w:r>
            <w:r>
              <w:rPr>
                <w:rFonts w:asciiTheme="majorBidi" w:hAnsiTheme="majorBidi" w:cstheme="majorBidi"/>
              </w:rPr>
              <w:tab/>
            </w:r>
          </w:p>
        </w:tc>
        <w:tc>
          <w:tcPr>
            <w:tcW w:w="563" w:type="pct"/>
            <w:tcBorders>
              <w:top w:val="single" w:sz="4" w:space="0" w:color="auto"/>
              <w:left w:val="single" w:sz="4" w:space="0" w:color="auto"/>
              <w:bottom w:val="single" w:sz="4" w:space="0" w:color="auto"/>
              <w:right w:val="single" w:sz="4" w:space="0" w:color="auto"/>
            </w:tcBorders>
            <w:vAlign w:val="bottom"/>
          </w:tcPr>
          <w:p w:rsidR="00A3113D" w:rsidRPr="009636C0" w:rsidRDefault="00A3113D" w:rsidP="00A3113D">
            <w:pPr>
              <w:spacing w:line="240" w:lineRule="exact"/>
              <w:jc w:val="center"/>
              <w:rPr>
                <w:rFonts w:asciiTheme="majorBidi" w:hAnsiTheme="majorBidi" w:cstheme="majorBidi"/>
                <w:sz w:val="22"/>
                <w:szCs w:val="22"/>
              </w:rPr>
            </w:pPr>
            <w:r>
              <w:rPr>
                <w:rFonts w:asciiTheme="majorBidi" w:hAnsiTheme="majorBidi" w:cstheme="majorBidi"/>
                <w:sz w:val="22"/>
                <w:szCs w:val="22"/>
              </w:rPr>
              <w:t>1.50</w:t>
            </w:r>
          </w:p>
        </w:tc>
        <w:tc>
          <w:tcPr>
            <w:tcW w:w="437" w:type="pct"/>
            <w:tcBorders>
              <w:top w:val="single" w:sz="4" w:space="0" w:color="auto"/>
              <w:left w:val="single" w:sz="4" w:space="0" w:color="auto"/>
              <w:bottom w:val="single" w:sz="4" w:space="0" w:color="auto"/>
              <w:right w:val="single" w:sz="4" w:space="0" w:color="auto"/>
            </w:tcBorders>
            <w:vAlign w:val="bottom"/>
          </w:tcPr>
          <w:p w:rsidR="00A3113D" w:rsidRPr="009636C0" w:rsidRDefault="00A3113D" w:rsidP="00A3113D">
            <w:pPr>
              <w:spacing w:line="240" w:lineRule="exact"/>
              <w:jc w:val="center"/>
              <w:rPr>
                <w:rFonts w:asciiTheme="majorBidi" w:hAnsiTheme="majorBidi" w:cstheme="majorBidi"/>
                <w:sz w:val="22"/>
                <w:szCs w:val="22"/>
              </w:rPr>
            </w:pPr>
            <w:r>
              <w:rPr>
                <w:rFonts w:asciiTheme="majorBidi" w:hAnsiTheme="majorBidi" w:cstheme="majorBidi"/>
                <w:sz w:val="22"/>
                <w:szCs w:val="22"/>
              </w:rPr>
              <w:t>261.8</w:t>
            </w:r>
          </w:p>
        </w:tc>
        <w:tc>
          <w:tcPr>
            <w:tcW w:w="562" w:type="pct"/>
            <w:tcBorders>
              <w:top w:val="single" w:sz="4" w:space="0" w:color="auto"/>
              <w:left w:val="single" w:sz="4" w:space="0" w:color="auto"/>
              <w:bottom w:val="single" w:sz="4" w:space="0" w:color="auto"/>
              <w:right w:val="single" w:sz="4" w:space="0" w:color="auto"/>
            </w:tcBorders>
            <w:vAlign w:val="bottom"/>
          </w:tcPr>
          <w:p w:rsidR="00A3113D" w:rsidRPr="009636C0" w:rsidRDefault="00A3113D" w:rsidP="00A3113D">
            <w:pPr>
              <w:spacing w:line="240" w:lineRule="exact"/>
              <w:jc w:val="center"/>
              <w:rPr>
                <w:rFonts w:asciiTheme="majorBidi" w:hAnsiTheme="majorBidi" w:cstheme="majorBidi"/>
                <w:sz w:val="22"/>
                <w:szCs w:val="22"/>
              </w:rPr>
            </w:pPr>
            <w:r>
              <w:rPr>
                <w:rFonts w:asciiTheme="majorBidi" w:hAnsiTheme="majorBidi" w:cstheme="majorBidi"/>
                <w:sz w:val="22"/>
                <w:szCs w:val="22"/>
              </w:rPr>
              <w:t>3.1</w:t>
            </w:r>
          </w:p>
        </w:tc>
        <w:tc>
          <w:tcPr>
            <w:tcW w:w="689" w:type="pct"/>
            <w:tcBorders>
              <w:top w:val="single" w:sz="4" w:space="0" w:color="auto"/>
              <w:left w:val="single" w:sz="4" w:space="0" w:color="auto"/>
              <w:bottom w:val="single" w:sz="4" w:space="0" w:color="auto"/>
              <w:right w:val="single" w:sz="4" w:space="0" w:color="auto"/>
            </w:tcBorders>
            <w:vAlign w:val="bottom"/>
          </w:tcPr>
          <w:p w:rsidR="00A3113D" w:rsidRPr="009636C0" w:rsidRDefault="00A3113D" w:rsidP="00A3113D">
            <w:pPr>
              <w:spacing w:line="240" w:lineRule="exact"/>
              <w:jc w:val="center"/>
              <w:rPr>
                <w:rFonts w:asciiTheme="majorBidi" w:hAnsiTheme="majorBidi" w:cstheme="majorBidi"/>
                <w:sz w:val="22"/>
                <w:szCs w:val="22"/>
              </w:rPr>
            </w:pPr>
            <w:r>
              <w:rPr>
                <w:rFonts w:asciiTheme="majorBidi" w:hAnsiTheme="majorBidi" w:cstheme="majorBidi"/>
                <w:sz w:val="22"/>
                <w:szCs w:val="22"/>
              </w:rPr>
              <w:t>12.7</w:t>
            </w:r>
          </w:p>
        </w:tc>
        <w:tc>
          <w:tcPr>
            <w:tcW w:w="686" w:type="pct"/>
            <w:tcBorders>
              <w:top w:val="single" w:sz="4" w:space="0" w:color="auto"/>
              <w:left w:val="single" w:sz="4" w:space="0" w:color="auto"/>
              <w:bottom w:val="single" w:sz="4" w:space="0" w:color="auto"/>
              <w:right w:val="single" w:sz="4" w:space="0" w:color="auto"/>
            </w:tcBorders>
            <w:vAlign w:val="bottom"/>
          </w:tcPr>
          <w:p w:rsidR="00A3113D" w:rsidRPr="009636C0" w:rsidRDefault="00A3113D" w:rsidP="00A3113D">
            <w:pPr>
              <w:spacing w:line="240" w:lineRule="exact"/>
              <w:jc w:val="center"/>
              <w:rPr>
                <w:rFonts w:asciiTheme="majorBidi" w:hAnsiTheme="majorBidi" w:cstheme="majorBidi"/>
                <w:sz w:val="22"/>
                <w:szCs w:val="22"/>
              </w:rPr>
            </w:pPr>
            <w:r>
              <w:rPr>
                <w:rFonts w:asciiTheme="majorBidi" w:hAnsiTheme="majorBidi" w:cstheme="majorBidi"/>
                <w:sz w:val="22"/>
                <w:szCs w:val="22"/>
              </w:rPr>
              <w:t>8.0</w:t>
            </w:r>
          </w:p>
        </w:tc>
      </w:tr>
      <w:tr w:rsidR="00A3113D" w:rsidRPr="0046570A" w:rsidTr="004B1765">
        <w:tc>
          <w:tcPr>
            <w:tcW w:w="2063" w:type="pct"/>
            <w:tcBorders>
              <w:top w:val="nil"/>
              <w:left w:val="nil"/>
              <w:bottom w:val="nil"/>
              <w:right w:val="single" w:sz="4" w:space="0" w:color="auto"/>
            </w:tcBorders>
            <w:vAlign w:val="center"/>
          </w:tcPr>
          <w:p w:rsidR="00A3113D" w:rsidRPr="0046570A" w:rsidRDefault="00A3113D" w:rsidP="00A3113D">
            <w:pPr>
              <w:tabs>
                <w:tab w:val="left" w:leader="dot" w:pos="4309"/>
              </w:tabs>
              <w:spacing w:line="240" w:lineRule="exact"/>
              <w:rPr>
                <w:rFonts w:asciiTheme="majorBidi" w:hAnsiTheme="majorBidi" w:cstheme="majorBidi"/>
                <w:rtl/>
                <w:lang w:bidi="fa-IR"/>
              </w:rPr>
            </w:pPr>
            <w:r w:rsidRPr="00F71278">
              <w:rPr>
                <w:rFonts w:asciiTheme="majorBidi" w:hAnsiTheme="majorBidi" w:cstheme="majorBidi"/>
              </w:rPr>
              <w:t>Electric installations</w:t>
            </w:r>
            <w:r w:rsidRPr="0046570A">
              <w:rPr>
                <w:rFonts w:asciiTheme="majorBidi" w:hAnsiTheme="majorBidi" w:cstheme="majorBidi"/>
              </w:rPr>
              <w:t xml:space="preserve">  group</w:t>
            </w:r>
            <w:r>
              <w:rPr>
                <w:rFonts w:asciiTheme="majorBidi" w:hAnsiTheme="majorBidi" w:cstheme="majorBidi"/>
              </w:rPr>
              <w:tab/>
            </w:r>
          </w:p>
        </w:tc>
        <w:tc>
          <w:tcPr>
            <w:tcW w:w="563" w:type="pct"/>
            <w:tcBorders>
              <w:top w:val="single" w:sz="4" w:space="0" w:color="auto"/>
              <w:left w:val="single" w:sz="4" w:space="0" w:color="auto"/>
              <w:bottom w:val="single" w:sz="4" w:space="0" w:color="auto"/>
              <w:right w:val="single" w:sz="4" w:space="0" w:color="auto"/>
            </w:tcBorders>
            <w:vAlign w:val="bottom"/>
          </w:tcPr>
          <w:p w:rsidR="00A3113D" w:rsidRPr="009636C0" w:rsidRDefault="00A3113D" w:rsidP="00A3113D">
            <w:pPr>
              <w:spacing w:line="240" w:lineRule="exact"/>
              <w:jc w:val="center"/>
              <w:rPr>
                <w:rFonts w:asciiTheme="majorBidi" w:hAnsiTheme="majorBidi" w:cstheme="majorBidi"/>
                <w:sz w:val="22"/>
                <w:szCs w:val="22"/>
              </w:rPr>
            </w:pPr>
            <w:r>
              <w:rPr>
                <w:rFonts w:asciiTheme="majorBidi" w:hAnsiTheme="majorBidi" w:cstheme="majorBidi"/>
                <w:sz w:val="22"/>
                <w:szCs w:val="22"/>
              </w:rPr>
              <w:t>3.25</w:t>
            </w:r>
          </w:p>
        </w:tc>
        <w:tc>
          <w:tcPr>
            <w:tcW w:w="437" w:type="pct"/>
            <w:tcBorders>
              <w:top w:val="single" w:sz="4" w:space="0" w:color="auto"/>
              <w:left w:val="single" w:sz="4" w:space="0" w:color="auto"/>
              <w:bottom w:val="single" w:sz="4" w:space="0" w:color="auto"/>
              <w:right w:val="single" w:sz="4" w:space="0" w:color="auto"/>
            </w:tcBorders>
            <w:vAlign w:val="bottom"/>
          </w:tcPr>
          <w:p w:rsidR="00A3113D" w:rsidRPr="009636C0" w:rsidRDefault="00A3113D" w:rsidP="00A3113D">
            <w:pPr>
              <w:spacing w:line="240" w:lineRule="exact"/>
              <w:jc w:val="center"/>
              <w:rPr>
                <w:rFonts w:asciiTheme="majorBidi" w:hAnsiTheme="majorBidi" w:cstheme="majorBidi"/>
                <w:sz w:val="22"/>
                <w:szCs w:val="22"/>
              </w:rPr>
            </w:pPr>
            <w:r>
              <w:rPr>
                <w:rFonts w:asciiTheme="majorBidi" w:hAnsiTheme="majorBidi" w:cstheme="majorBidi"/>
                <w:sz w:val="22"/>
                <w:szCs w:val="22"/>
              </w:rPr>
              <w:t>257.4</w:t>
            </w:r>
          </w:p>
        </w:tc>
        <w:tc>
          <w:tcPr>
            <w:tcW w:w="562" w:type="pct"/>
            <w:tcBorders>
              <w:top w:val="single" w:sz="4" w:space="0" w:color="auto"/>
              <w:left w:val="single" w:sz="4" w:space="0" w:color="auto"/>
              <w:bottom w:val="single" w:sz="4" w:space="0" w:color="auto"/>
              <w:right w:val="single" w:sz="4" w:space="0" w:color="auto"/>
            </w:tcBorders>
            <w:vAlign w:val="bottom"/>
          </w:tcPr>
          <w:p w:rsidR="00A3113D" w:rsidRPr="009636C0" w:rsidRDefault="00A3113D" w:rsidP="00A3113D">
            <w:pPr>
              <w:spacing w:line="240" w:lineRule="exact"/>
              <w:jc w:val="center"/>
              <w:rPr>
                <w:rFonts w:asciiTheme="majorBidi" w:hAnsiTheme="majorBidi" w:cstheme="majorBidi"/>
                <w:sz w:val="22"/>
                <w:szCs w:val="22"/>
              </w:rPr>
            </w:pPr>
            <w:r>
              <w:rPr>
                <w:rFonts w:asciiTheme="majorBidi" w:hAnsiTheme="majorBidi" w:cstheme="majorBidi"/>
                <w:sz w:val="22"/>
                <w:szCs w:val="22"/>
              </w:rPr>
              <w:t>3.8</w:t>
            </w:r>
          </w:p>
        </w:tc>
        <w:tc>
          <w:tcPr>
            <w:tcW w:w="689" w:type="pct"/>
            <w:tcBorders>
              <w:top w:val="single" w:sz="4" w:space="0" w:color="auto"/>
              <w:left w:val="single" w:sz="4" w:space="0" w:color="auto"/>
              <w:bottom w:val="single" w:sz="4" w:space="0" w:color="auto"/>
              <w:right w:val="single" w:sz="4" w:space="0" w:color="auto"/>
            </w:tcBorders>
            <w:vAlign w:val="bottom"/>
          </w:tcPr>
          <w:p w:rsidR="00A3113D" w:rsidRPr="00A3113D" w:rsidRDefault="00A3113D" w:rsidP="00A3113D">
            <w:pPr>
              <w:spacing w:line="240" w:lineRule="exact"/>
              <w:ind w:right="-247"/>
              <w:rPr>
                <w:rFonts w:asciiTheme="majorBidi" w:hAnsiTheme="majorBidi" w:cstheme="majorBidi"/>
                <w:sz w:val="22"/>
                <w:szCs w:val="22"/>
              </w:rPr>
            </w:pPr>
            <w:r>
              <w:rPr>
                <w:rFonts w:asciiTheme="majorBidi" w:hAnsiTheme="majorBidi" w:cstheme="majorBidi"/>
                <w:sz w:val="22"/>
                <w:szCs w:val="22"/>
              </w:rPr>
              <w:t xml:space="preserve">        10.6</w:t>
            </w:r>
          </w:p>
        </w:tc>
        <w:tc>
          <w:tcPr>
            <w:tcW w:w="686" w:type="pct"/>
            <w:tcBorders>
              <w:top w:val="single" w:sz="4" w:space="0" w:color="auto"/>
              <w:left w:val="single" w:sz="4" w:space="0" w:color="auto"/>
              <w:bottom w:val="single" w:sz="4" w:space="0" w:color="auto"/>
              <w:right w:val="single" w:sz="4" w:space="0" w:color="auto"/>
            </w:tcBorders>
            <w:vAlign w:val="bottom"/>
          </w:tcPr>
          <w:p w:rsidR="00A3113D" w:rsidRPr="009636C0" w:rsidRDefault="00A3113D" w:rsidP="00A3113D">
            <w:pPr>
              <w:spacing w:line="240" w:lineRule="exact"/>
              <w:jc w:val="center"/>
              <w:rPr>
                <w:rFonts w:asciiTheme="majorBidi" w:hAnsiTheme="majorBidi" w:cstheme="majorBidi"/>
                <w:sz w:val="22"/>
                <w:szCs w:val="22"/>
              </w:rPr>
            </w:pPr>
            <w:r>
              <w:rPr>
                <w:rFonts w:asciiTheme="majorBidi" w:hAnsiTheme="majorBidi" w:cstheme="majorBidi"/>
                <w:sz w:val="22"/>
                <w:szCs w:val="22"/>
              </w:rPr>
              <w:t>10.0</w:t>
            </w:r>
          </w:p>
        </w:tc>
      </w:tr>
      <w:tr w:rsidR="00A3113D" w:rsidRPr="0046570A" w:rsidTr="004B1765">
        <w:trPr>
          <w:trHeight w:val="70"/>
        </w:trPr>
        <w:tc>
          <w:tcPr>
            <w:tcW w:w="2063" w:type="pct"/>
            <w:tcBorders>
              <w:top w:val="nil"/>
              <w:left w:val="nil"/>
              <w:bottom w:val="nil"/>
              <w:right w:val="single" w:sz="4" w:space="0" w:color="auto"/>
            </w:tcBorders>
            <w:vAlign w:val="center"/>
          </w:tcPr>
          <w:p w:rsidR="00A3113D" w:rsidRPr="0046570A" w:rsidRDefault="00A3113D" w:rsidP="00A3113D">
            <w:pPr>
              <w:tabs>
                <w:tab w:val="left" w:leader="dot" w:pos="4309"/>
              </w:tabs>
              <w:spacing w:line="240" w:lineRule="exact"/>
              <w:rPr>
                <w:rFonts w:asciiTheme="majorBidi" w:hAnsiTheme="majorBidi" w:cstheme="majorBidi"/>
                <w:rtl/>
                <w:lang w:bidi="fa-IR"/>
              </w:rPr>
            </w:pPr>
            <w:r w:rsidRPr="0046570A">
              <w:rPr>
                <w:rFonts w:asciiTheme="majorBidi" w:hAnsiTheme="majorBidi" w:cstheme="majorBidi"/>
              </w:rPr>
              <w:t>Flat glass group</w:t>
            </w:r>
            <w:r>
              <w:rPr>
                <w:rFonts w:asciiTheme="majorBidi" w:hAnsiTheme="majorBidi" w:cstheme="majorBidi"/>
              </w:rPr>
              <w:tab/>
            </w:r>
          </w:p>
        </w:tc>
        <w:tc>
          <w:tcPr>
            <w:tcW w:w="563" w:type="pct"/>
            <w:tcBorders>
              <w:top w:val="single" w:sz="4" w:space="0" w:color="auto"/>
              <w:left w:val="single" w:sz="4" w:space="0" w:color="auto"/>
              <w:bottom w:val="single" w:sz="4" w:space="0" w:color="auto"/>
              <w:right w:val="single" w:sz="4" w:space="0" w:color="auto"/>
            </w:tcBorders>
            <w:vAlign w:val="bottom"/>
          </w:tcPr>
          <w:p w:rsidR="00A3113D" w:rsidRPr="009636C0" w:rsidRDefault="00A3113D" w:rsidP="00A3113D">
            <w:pPr>
              <w:spacing w:line="240" w:lineRule="exact"/>
              <w:jc w:val="center"/>
              <w:rPr>
                <w:rFonts w:asciiTheme="majorBidi" w:hAnsiTheme="majorBidi" w:cstheme="majorBidi"/>
                <w:sz w:val="22"/>
                <w:szCs w:val="22"/>
              </w:rPr>
            </w:pPr>
            <w:r>
              <w:rPr>
                <w:rFonts w:asciiTheme="majorBidi" w:hAnsiTheme="majorBidi" w:cstheme="majorBidi"/>
                <w:sz w:val="22"/>
                <w:szCs w:val="22"/>
              </w:rPr>
              <w:t>1.31</w:t>
            </w:r>
          </w:p>
        </w:tc>
        <w:tc>
          <w:tcPr>
            <w:tcW w:w="437" w:type="pct"/>
            <w:tcBorders>
              <w:top w:val="single" w:sz="4" w:space="0" w:color="auto"/>
              <w:left w:val="single" w:sz="4" w:space="0" w:color="auto"/>
              <w:bottom w:val="single" w:sz="4" w:space="0" w:color="auto"/>
              <w:right w:val="single" w:sz="4" w:space="0" w:color="auto"/>
            </w:tcBorders>
            <w:vAlign w:val="bottom"/>
          </w:tcPr>
          <w:p w:rsidR="00A3113D" w:rsidRPr="009636C0" w:rsidRDefault="00A3113D" w:rsidP="00A3113D">
            <w:pPr>
              <w:spacing w:line="240" w:lineRule="exact"/>
              <w:jc w:val="center"/>
              <w:rPr>
                <w:rFonts w:asciiTheme="majorBidi" w:hAnsiTheme="majorBidi" w:cstheme="majorBidi"/>
                <w:sz w:val="22"/>
                <w:szCs w:val="22"/>
              </w:rPr>
            </w:pPr>
            <w:r>
              <w:rPr>
                <w:rFonts w:asciiTheme="majorBidi" w:hAnsiTheme="majorBidi" w:cstheme="majorBidi"/>
                <w:sz w:val="22"/>
                <w:szCs w:val="22"/>
              </w:rPr>
              <w:t>190.8</w:t>
            </w:r>
          </w:p>
        </w:tc>
        <w:tc>
          <w:tcPr>
            <w:tcW w:w="562" w:type="pct"/>
            <w:tcBorders>
              <w:top w:val="single" w:sz="4" w:space="0" w:color="auto"/>
              <w:left w:val="single" w:sz="4" w:space="0" w:color="auto"/>
              <w:bottom w:val="single" w:sz="4" w:space="0" w:color="auto"/>
              <w:right w:val="single" w:sz="4" w:space="0" w:color="auto"/>
            </w:tcBorders>
            <w:vAlign w:val="bottom"/>
          </w:tcPr>
          <w:p w:rsidR="00A3113D" w:rsidRPr="009636C0" w:rsidRDefault="00A3113D" w:rsidP="00A3113D">
            <w:pPr>
              <w:spacing w:line="240" w:lineRule="exact"/>
              <w:jc w:val="center"/>
              <w:rPr>
                <w:rFonts w:asciiTheme="majorBidi" w:hAnsiTheme="majorBidi" w:cstheme="majorBidi"/>
                <w:sz w:val="22"/>
                <w:szCs w:val="22"/>
              </w:rPr>
            </w:pPr>
            <w:r>
              <w:rPr>
                <w:rFonts w:asciiTheme="majorBidi" w:hAnsiTheme="majorBidi" w:cstheme="majorBidi"/>
                <w:sz w:val="22"/>
                <w:szCs w:val="22"/>
              </w:rPr>
              <w:t>4.0</w:t>
            </w:r>
          </w:p>
        </w:tc>
        <w:tc>
          <w:tcPr>
            <w:tcW w:w="689" w:type="pct"/>
            <w:tcBorders>
              <w:top w:val="single" w:sz="4" w:space="0" w:color="auto"/>
              <w:left w:val="single" w:sz="4" w:space="0" w:color="auto"/>
              <w:bottom w:val="single" w:sz="4" w:space="0" w:color="auto"/>
              <w:right w:val="single" w:sz="4" w:space="0" w:color="auto"/>
            </w:tcBorders>
            <w:vAlign w:val="bottom"/>
          </w:tcPr>
          <w:p w:rsidR="00A3113D" w:rsidRPr="009636C0" w:rsidRDefault="00A3113D" w:rsidP="00A3113D">
            <w:pPr>
              <w:spacing w:line="240" w:lineRule="exact"/>
              <w:jc w:val="center"/>
              <w:rPr>
                <w:rFonts w:asciiTheme="majorBidi" w:hAnsiTheme="majorBidi" w:cstheme="majorBidi"/>
                <w:sz w:val="22"/>
                <w:szCs w:val="22"/>
              </w:rPr>
            </w:pPr>
            <w:r>
              <w:rPr>
                <w:rFonts w:asciiTheme="majorBidi" w:hAnsiTheme="majorBidi" w:cstheme="majorBidi"/>
                <w:sz w:val="22"/>
                <w:szCs w:val="22"/>
              </w:rPr>
              <w:t>-0.1</w:t>
            </w:r>
          </w:p>
        </w:tc>
        <w:tc>
          <w:tcPr>
            <w:tcW w:w="686" w:type="pct"/>
            <w:tcBorders>
              <w:top w:val="single" w:sz="4" w:space="0" w:color="auto"/>
              <w:left w:val="single" w:sz="4" w:space="0" w:color="auto"/>
              <w:bottom w:val="single" w:sz="4" w:space="0" w:color="auto"/>
              <w:right w:val="single" w:sz="4" w:space="0" w:color="auto"/>
            </w:tcBorders>
            <w:vAlign w:val="bottom"/>
          </w:tcPr>
          <w:p w:rsidR="00A3113D" w:rsidRPr="009636C0" w:rsidRDefault="00A3113D" w:rsidP="00A3113D">
            <w:pPr>
              <w:spacing w:line="240" w:lineRule="exact"/>
              <w:jc w:val="center"/>
              <w:rPr>
                <w:rFonts w:asciiTheme="majorBidi" w:hAnsiTheme="majorBidi" w:cstheme="majorBidi"/>
                <w:sz w:val="22"/>
                <w:szCs w:val="22"/>
              </w:rPr>
            </w:pPr>
            <w:r>
              <w:rPr>
                <w:rFonts w:asciiTheme="majorBidi" w:hAnsiTheme="majorBidi" w:cstheme="majorBidi"/>
                <w:sz w:val="22"/>
                <w:szCs w:val="22"/>
              </w:rPr>
              <w:t>-4.3</w:t>
            </w:r>
          </w:p>
        </w:tc>
      </w:tr>
      <w:tr w:rsidR="00264F56" w:rsidRPr="0046570A" w:rsidTr="004B1765">
        <w:tc>
          <w:tcPr>
            <w:tcW w:w="2063" w:type="pct"/>
            <w:tcBorders>
              <w:top w:val="nil"/>
              <w:left w:val="nil"/>
              <w:bottom w:val="single" w:sz="12" w:space="0" w:color="auto"/>
              <w:right w:val="single" w:sz="4" w:space="0" w:color="auto"/>
            </w:tcBorders>
            <w:vAlign w:val="center"/>
          </w:tcPr>
          <w:p w:rsidR="00264F56" w:rsidRPr="0046570A" w:rsidRDefault="00264F56" w:rsidP="00264F56">
            <w:pPr>
              <w:tabs>
                <w:tab w:val="left" w:leader="dot" w:pos="4309"/>
              </w:tabs>
              <w:spacing w:line="240" w:lineRule="exact"/>
              <w:rPr>
                <w:rFonts w:asciiTheme="majorBidi" w:hAnsiTheme="majorBidi" w:cstheme="majorBidi"/>
                <w:rtl/>
                <w:lang w:bidi="fa-IR"/>
              </w:rPr>
            </w:pPr>
            <w:r w:rsidRPr="0046570A">
              <w:rPr>
                <w:rFonts w:asciiTheme="majorBidi" w:hAnsiTheme="majorBidi" w:cstheme="majorBidi"/>
              </w:rPr>
              <w:t>Services group</w:t>
            </w:r>
            <w:r>
              <w:rPr>
                <w:rFonts w:asciiTheme="majorBidi" w:hAnsiTheme="majorBidi" w:cstheme="majorBidi"/>
              </w:rPr>
              <w:tab/>
            </w:r>
          </w:p>
        </w:tc>
        <w:tc>
          <w:tcPr>
            <w:tcW w:w="563"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25.66</w:t>
            </w:r>
          </w:p>
        </w:tc>
        <w:tc>
          <w:tcPr>
            <w:tcW w:w="437"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229.3</w:t>
            </w:r>
          </w:p>
        </w:tc>
        <w:tc>
          <w:tcPr>
            <w:tcW w:w="562" w:type="pct"/>
            <w:tcBorders>
              <w:top w:val="single" w:sz="4" w:space="0" w:color="auto"/>
              <w:left w:val="single" w:sz="4" w:space="0" w:color="auto"/>
              <w:bottom w:val="single" w:sz="4" w:space="0" w:color="auto"/>
              <w:right w:val="single" w:sz="4" w:space="0" w:color="auto"/>
            </w:tcBorders>
            <w:vAlign w:val="bottom"/>
          </w:tcPr>
          <w:p w:rsidR="00264F56" w:rsidRPr="009636C0" w:rsidRDefault="004B1765"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0.1</w:t>
            </w:r>
          </w:p>
        </w:tc>
        <w:tc>
          <w:tcPr>
            <w:tcW w:w="689" w:type="pct"/>
            <w:tcBorders>
              <w:top w:val="single" w:sz="4" w:space="0" w:color="auto"/>
              <w:left w:val="single" w:sz="4" w:space="0" w:color="auto"/>
              <w:bottom w:val="single" w:sz="4" w:space="0" w:color="auto"/>
              <w:right w:val="single" w:sz="4" w:space="0" w:color="auto"/>
            </w:tcBorders>
            <w:vAlign w:val="bottom"/>
          </w:tcPr>
          <w:p w:rsidR="00264F56" w:rsidRPr="009636C0" w:rsidRDefault="00A3113D" w:rsidP="001E01DC">
            <w:pPr>
              <w:spacing w:line="240" w:lineRule="exact"/>
              <w:jc w:val="center"/>
              <w:rPr>
                <w:rFonts w:asciiTheme="majorBidi" w:hAnsiTheme="majorBidi" w:cstheme="majorBidi"/>
                <w:sz w:val="22"/>
                <w:szCs w:val="22"/>
                <w:lang w:bidi="fa-IR"/>
              </w:rPr>
            </w:pPr>
            <w:r>
              <w:rPr>
                <w:rFonts w:asciiTheme="majorBidi" w:hAnsiTheme="majorBidi" w:cstheme="majorBidi"/>
                <w:sz w:val="22"/>
                <w:szCs w:val="22"/>
                <w:lang w:bidi="fa-IR"/>
              </w:rPr>
              <w:t>7.8</w:t>
            </w:r>
          </w:p>
        </w:tc>
        <w:tc>
          <w:tcPr>
            <w:tcW w:w="686" w:type="pct"/>
            <w:tcBorders>
              <w:top w:val="single" w:sz="4" w:space="0" w:color="auto"/>
              <w:left w:val="single" w:sz="4" w:space="0" w:color="auto"/>
              <w:bottom w:val="single" w:sz="4" w:space="0" w:color="auto"/>
              <w:right w:val="single" w:sz="4" w:space="0" w:color="auto"/>
            </w:tcBorders>
            <w:vAlign w:val="bottom"/>
          </w:tcPr>
          <w:p w:rsidR="00264F56" w:rsidRPr="009636C0" w:rsidRDefault="00A3113D" w:rsidP="001E01DC">
            <w:pPr>
              <w:spacing w:line="240" w:lineRule="exact"/>
              <w:jc w:val="center"/>
              <w:rPr>
                <w:rFonts w:asciiTheme="majorBidi" w:hAnsiTheme="majorBidi" w:cstheme="majorBidi"/>
                <w:sz w:val="22"/>
                <w:szCs w:val="22"/>
              </w:rPr>
            </w:pPr>
            <w:r>
              <w:rPr>
                <w:rFonts w:asciiTheme="majorBidi" w:hAnsiTheme="majorBidi" w:cstheme="majorBidi"/>
                <w:sz w:val="22"/>
                <w:szCs w:val="22"/>
              </w:rPr>
              <w:t>7.3</w:t>
            </w:r>
          </w:p>
        </w:tc>
      </w:tr>
    </w:tbl>
    <w:p w:rsidR="00264F56" w:rsidRPr="0046570A" w:rsidRDefault="00264F56" w:rsidP="00264F56">
      <w:pPr>
        <w:spacing w:line="240" w:lineRule="exact"/>
        <w:jc w:val="both"/>
        <w:rPr>
          <w:rFonts w:asciiTheme="majorBidi" w:hAnsiTheme="majorBidi" w:cstheme="majorBidi"/>
          <w:b/>
          <w:bCs/>
          <w:sz w:val="28"/>
          <w:szCs w:val="28"/>
        </w:rPr>
      </w:pPr>
    </w:p>
    <w:p w:rsidR="00842A42" w:rsidRDefault="00842A42" w:rsidP="00264F56">
      <w:pPr>
        <w:spacing w:line="240" w:lineRule="exact"/>
        <w:jc w:val="both"/>
        <w:rPr>
          <w:sz w:val="28"/>
          <w:szCs w:val="28"/>
        </w:rPr>
      </w:pPr>
    </w:p>
    <w:p w:rsidR="00842A42" w:rsidRDefault="00842A42" w:rsidP="00EE6723">
      <w:pPr>
        <w:jc w:val="both"/>
        <w:rPr>
          <w:sz w:val="28"/>
          <w:szCs w:val="28"/>
        </w:rPr>
      </w:pPr>
    </w:p>
    <w:p w:rsidR="00D84191" w:rsidRDefault="00D84191" w:rsidP="00EE6723">
      <w:pPr>
        <w:jc w:val="both"/>
        <w:rPr>
          <w:sz w:val="28"/>
          <w:szCs w:val="28"/>
        </w:rPr>
      </w:pPr>
    </w:p>
    <w:p w:rsidR="00D84191" w:rsidRDefault="00D84191" w:rsidP="00EE6723">
      <w:pPr>
        <w:jc w:val="both"/>
        <w:rPr>
          <w:sz w:val="28"/>
          <w:szCs w:val="28"/>
        </w:rPr>
      </w:pPr>
    </w:p>
    <w:p w:rsidR="00D84191" w:rsidRDefault="00D84191" w:rsidP="00EE6723">
      <w:pPr>
        <w:jc w:val="both"/>
        <w:rPr>
          <w:sz w:val="28"/>
          <w:szCs w:val="28"/>
        </w:rPr>
      </w:pPr>
    </w:p>
    <w:p w:rsidR="00D84191" w:rsidRDefault="00D84191" w:rsidP="00EE6723">
      <w:pPr>
        <w:jc w:val="both"/>
        <w:rPr>
          <w:sz w:val="28"/>
          <w:szCs w:val="28"/>
        </w:rPr>
      </w:pPr>
    </w:p>
    <w:p w:rsidR="00D84191" w:rsidRDefault="00D84191" w:rsidP="00EE6723">
      <w:pPr>
        <w:jc w:val="both"/>
        <w:rPr>
          <w:sz w:val="28"/>
          <w:szCs w:val="28"/>
        </w:rPr>
      </w:pPr>
    </w:p>
    <w:p w:rsidR="00015762" w:rsidRDefault="00015762" w:rsidP="00EE6723">
      <w:pPr>
        <w:jc w:val="both"/>
        <w:rPr>
          <w:sz w:val="28"/>
          <w:szCs w:val="28"/>
        </w:rPr>
      </w:pPr>
    </w:p>
    <w:p w:rsidR="00D84191" w:rsidRDefault="00D84191" w:rsidP="00EE6723">
      <w:pPr>
        <w:jc w:val="both"/>
        <w:rPr>
          <w:sz w:val="28"/>
          <w:szCs w:val="28"/>
        </w:rPr>
      </w:pPr>
    </w:p>
    <w:p w:rsidR="001E01DC" w:rsidRPr="0046570A" w:rsidRDefault="001E01DC" w:rsidP="00C90C68">
      <w:pPr>
        <w:rPr>
          <w:rFonts w:asciiTheme="majorBidi" w:hAnsiTheme="majorBidi" w:cstheme="majorBidi"/>
          <w:b/>
          <w:bCs/>
          <w:sz w:val="28"/>
          <w:szCs w:val="28"/>
        </w:rPr>
      </w:pPr>
      <w:r w:rsidRPr="0046570A">
        <w:rPr>
          <w:rFonts w:asciiTheme="majorBidi" w:hAnsiTheme="majorBidi" w:cstheme="majorBidi"/>
          <w:b/>
          <w:bCs/>
          <w:sz w:val="28"/>
          <w:szCs w:val="28"/>
        </w:rPr>
        <w:lastRenderedPageBreak/>
        <w:t xml:space="preserve">2. </w:t>
      </w:r>
      <w:r>
        <w:rPr>
          <w:rFonts w:asciiTheme="majorBidi" w:hAnsiTheme="majorBidi" w:cstheme="majorBidi"/>
          <w:b/>
          <w:bCs/>
          <w:sz w:val="28"/>
          <w:szCs w:val="28"/>
        </w:rPr>
        <w:t>G</w:t>
      </w:r>
      <w:r w:rsidRPr="0046570A">
        <w:rPr>
          <w:rFonts w:asciiTheme="majorBidi" w:hAnsiTheme="majorBidi" w:cstheme="majorBidi"/>
          <w:b/>
          <w:bCs/>
          <w:sz w:val="28"/>
          <w:szCs w:val="28"/>
        </w:rPr>
        <w:t xml:space="preserve">eneral </w:t>
      </w:r>
      <w:r w:rsidR="00C90C68" w:rsidRPr="0046570A">
        <w:rPr>
          <w:rFonts w:asciiTheme="majorBidi" w:hAnsiTheme="majorBidi" w:cstheme="majorBidi"/>
          <w:b/>
          <w:bCs/>
          <w:sz w:val="28"/>
          <w:szCs w:val="28"/>
        </w:rPr>
        <w:t xml:space="preserve">Index </w:t>
      </w:r>
      <w:r w:rsidR="00C90C68">
        <w:rPr>
          <w:rFonts w:asciiTheme="majorBidi" w:hAnsiTheme="majorBidi" w:cstheme="majorBidi"/>
          <w:b/>
          <w:bCs/>
          <w:sz w:val="28"/>
          <w:szCs w:val="28"/>
        </w:rPr>
        <w:t>of Tehran Residential Buildings Inputs Price by</w:t>
      </w:r>
      <w:r w:rsidR="00C90C68" w:rsidRPr="0046570A">
        <w:rPr>
          <w:rFonts w:asciiTheme="majorBidi" w:hAnsiTheme="majorBidi" w:cstheme="majorBidi"/>
          <w:b/>
          <w:bCs/>
          <w:sz w:val="28"/>
          <w:szCs w:val="28"/>
        </w:rPr>
        <w:t xml:space="preserve"> Season</w:t>
      </w:r>
      <w:r w:rsidR="00C90C68">
        <w:rPr>
          <w:rFonts w:asciiTheme="majorBidi" w:hAnsiTheme="majorBidi" w:cstheme="majorBidi"/>
          <w:b/>
          <w:bCs/>
          <w:sz w:val="28"/>
          <w:szCs w:val="28"/>
        </w:rPr>
        <w:t>,</w:t>
      </w:r>
      <w:r w:rsidR="00C90C68" w:rsidRPr="0046570A">
        <w:rPr>
          <w:rFonts w:asciiTheme="majorBidi" w:hAnsiTheme="majorBidi" w:cstheme="majorBidi"/>
          <w:b/>
          <w:bCs/>
          <w:sz w:val="28"/>
          <w:szCs w:val="28"/>
        </w:rPr>
        <w:t xml:space="preserve"> Year and Annual Percentage Change</w:t>
      </w:r>
      <w:r w:rsidRPr="0046570A">
        <w:rPr>
          <w:rFonts w:asciiTheme="majorBidi" w:hAnsiTheme="majorBidi" w:cstheme="majorBidi"/>
          <w:b/>
          <w:bCs/>
          <w:sz w:val="28"/>
          <w:szCs w:val="28"/>
        </w:rPr>
        <w:t xml:space="preserve"> </w:t>
      </w:r>
      <w:r w:rsidRPr="00036DDD">
        <w:rPr>
          <w:rFonts w:asciiTheme="majorBidi" w:hAnsiTheme="majorBidi" w:cstheme="majorBidi"/>
          <w:sz w:val="28"/>
          <w:szCs w:val="28"/>
        </w:rPr>
        <w:t>(</w:t>
      </w:r>
      <w:r w:rsidRPr="00036DDD">
        <w:rPr>
          <w:rFonts w:asciiTheme="majorBidi" w:hAnsiTheme="majorBidi" w:cstheme="majorBidi"/>
          <w:b/>
          <w:bCs/>
          <w:sz w:val="28"/>
          <w:szCs w:val="28"/>
        </w:rPr>
        <w:t>base year 1390)</w:t>
      </w:r>
    </w:p>
    <w:p w:rsidR="001E01DC" w:rsidRDefault="001E01DC" w:rsidP="001E01DC">
      <w:pPr>
        <w:rPr>
          <w:rFonts w:asciiTheme="majorBidi" w:hAnsiTheme="majorBidi" w:cstheme="majorBidi"/>
          <w:b/>
          <w:bCs/>
          <w:sz w:val="28"/>
          <w:szCs w:val="28"/>
        </w:rPr>
      </w:pPr>
    </w:p>
    <w:p w:rsidR="001E01DC" w:rsidRPr="0046570A" w:rsidRDefault="001E01DC" w:rsidP="001E01DC">
      <w:pPr>
        <w:rPr>
          <w:rFonts w:asciiTheme="majorBidi" w:hAnsiTheme="majorBidi" w:cstheme="majorBidi"/>
          <w:b/>
          <w:bCs/>
          <w:sz w:val="28"/>
          <w:szCs w:val="28"/>
        </w:rPr>
      </w:pPr>
    </w:p>
    <w:p w:rsidR="001E01DC" w:rsidRPr="0046570A" w:rsidRDefault="001E01DC" w:rsidP="001E01DC">
      <w:pPr>
        <w:rPr>
          <w:rFonts w:asciiTheme="majorBidi" w:hAnsiTheme="majorBidi" w:cstheme="majorBidi"/>
          <w:sz w:val="28"/>
          <w:szCs w:val="28"/>
        </w:rPr>
      </w:pPr>
    </w:p>
    <w:tbl>
      <w:tblPr>
        <w:tblStyle w:val="TableGrid"/>
        <w:tblpPr w:leftFromText="180" w:rightFromText="180" w:vertAnchor="page" w:horzAnchor="margin" w:tblpXSpec="center" w:tblpY="2386"/>
        <w:bidiVisual/>
        <w:tblW w:w="5515" w:type="pct"/>
        <w:tblLayout w:type="fixed"/>
        <w:tblLook w:val="04A0" w:firstRow="1" w:lastRow="0" w:firstColumn="1" w:lastColumn="0" w:noHBand="0" w:noVBand="1"/>
      </w:tblPr>
      <w:tblGrid>
        <w:gridCol w:w="1250"/>
        <w:gridCol w:w="1115"/>
        <w:gridCol w:w="980"/>
        <w:gridCol w:w="948"/>
        <w:gridCol w:w="1147"/>
        <w:gridCol w:w="894"/>
        <w:gridCol w:w="3622"/>
      </w:tblGrid>
      <w:tr w:rsidR="001E01DC" w:rsidRPr="0046570A" w:rsidTr="005120C8">
        <w:trPr>
          <w:trHeight w:val="1194"/>
        </w:trPr>
        <w:tc>
          <w:tcPr>
            <w:tcW w:w="628" w:type="pct"/>
            <w:tcBorders>
              <w:top w:val="single" w:sz="12" w:space="0" w:color="auto"/>
              <w:left w:val="nil"/>
              <w:bottom w:val="single" w:sz="12" w:space="0" w:color="auto"/>
              <w:right w:val="single" w:sz="12" w:space="0" w:color="auto"/>
            </w:tcBorders>
            <w:shd w:val="clear" w:color="auto" w:fill="F7CAAC" w:themeFill="accent2" w:themeFillTint="66"/>
            <w:vAlign w:val="center"/>
            <w:hideMark/>
          </w:tcPr>
          <w:p w:rsidR="001E01DC" w:rsidRPr="00CD00B3" w:rsidRDefault="001E01DC" w:rsidP="005120C8">
            <w:pPr>
              <w:rPr>
                <w:rFonts w:asciiTheme="majorBidi" w:eastAsia="Times New Roman" w:hAnsiTheme="majorBidi" w:cstheme="majorBidi"/>
                <w:b/>
                <w:bCs/>
                <w:color w:val="000000"/>
                <w:sz w:val="20"/>
                <w:szCs w:val="20"/>
                <w:lang w:bidi="fa-IR"/>
              </w:rPr>
            </w:pPr>
            <w:r w:rsidRPr="00CD00B3">
              <w:rPr>
                <w:rFonts w:asciiTheme="majorBidi" w:eastAsia="Times New Roman" w:hAnsiTheme="majorBidi" w:cstheme="majorBidi"/>
                <w:b/>
                <w:bCs/>
                <w:color w:val="000000"/>
                <w:sz w:val="20"/>
                <w:szCs w:val="20"/>
                <w:lang w:bidi="fa-IR"/>
              </w:rPr>
              <w:t xml:space="preserve">Annual percentage </w:t>
            </w:r>
            <w:r>
              <w:rPr>
                <w:rFonts w:asciiTheme="majorBidi" w:eastAsia="Times New Roman" w:hAnsiTheme="majorBidi" w:cstheme="majorBidi"/>
                <w:b/>
                <w:bCs/>
                <w:color w:val="000000"/>
                <w:sz w:val="20"/>
                <w:szCs w:val="20"/>
                <w:lang w:bidi="fa-IR"/>
              </w:rPr>
              <w:t>c</w:t>
            </w:r>
            <w:r w:rsidRPr="00CD00B3">
              <w:rPr>
                <w:rFonts w:asciiTheme="majorBidi" w:eastAsia="Times New Roman" w:hAnsiTheme="majorBidi" w:cstheme="majorBidi"/>
                <w:b/>
                <w:bCs/>
                <w:color w:val="000000"/>
                <w:sz w:val="20"/>
                <w:szCs w:val="20"/>
                <w:lang w:bidi="fa-IR"/>
              </w:rPr>
              <w:t>hange</w:t>
            </w:r>
          </w:p>
        </w:tc>
        <w:tc>
          <w:tcPr>
            <w:tcW w:w="560" w:type="pct"/>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hideMark/>
          </w:tcPr>
          <w:p w:rsidR="001E01DC" w:rsidRDefault="001E01DC" w:rsidP="005120C8">
            <w:pPr>
              <w:jc w:val="center"/>
              <w:rPr>
                <w:rFonts w:asciiTheme="majorBidi" w:eastAsia="Times New Roman" w:hAnsiTheme="majorBidi" w:cstheme="majorBidi"/>
                <w:b/>
                <w:bCs/>
                <w:color w:val="000000"/>
                <w:sz w:val="20"/>
                <w:szCs w:val="20"/>
              </w:rPr>
            </w:pPr>
            <w:r w:rsidRPr="00CD00B3">
              <w:rPr>
                <w:rFonts w:asciiTheme="majorBidi" w:eastAsia="Times New Roman" w:hAnsiTheme="majorBidi" w:cstheme="majorBidi"/>
                <w:b/>
                <w:bCs/>
                <w:color w:val="000000"/>
                <w:sz w:val="20"/>
                <w:szCs w:val="20"/>
              </w:rPr>
              <w:t>Average</w:t>
            </w:r>
          </w:p>
          <w:p w:rsidR="001E01DC" w:rsidRPr="00CD00B3" w:rsidRDefault="001E01DC" w:rsidP="005120C8">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year</w:t>
            </w:r>
          </w:p>
        </w:tc>
        <w:tc>
          <w:tcPr>
            <w:tcW w:w="492" w:type="pct"/>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hideMark/>
          </w:tcPr>
          <w:p w:rsidR="001E01DC" w:rsidRPr="00CD00B3" w:rsidRDefault="001E01DC" w:rsidP="005120C8">
            <w:pPr>
              <w:jc w:val="center"/>
              <w:rPr>
                <w:rFonts w:asciiTheme="majorBidi" w:eastAsia="Times New Roman" w:hAnsiTheme="majorBidi" w:cstheme="majorBidi"/>
                <w:b/>
                <w:bCs/>
                <w:color w:val="000000"/>
                <w:sz w:val="20"/>
                <w:szCs w:val="20"/>
              </w:rPr>
            </w:pPr>
            <w:r w:rsidRPr="00CD00B3">
              <w:rPr>
                <w:rFonts w:asciiTheme="majorBidi" w:eastAsia="Times New Roman" w:hAnsiTheme="majorBidi" w:cstheme="majorBidi"/>
                <w:b/>
                <w:bCs/>
                <w:color w:val="000000"/>
                <w:sz w:val="20"/>
                <w:szCs w:val="20"/>
              </w:rPr>
              <w:t>Winter</w:t>
            </w:r>
          </w:p>
        </w:tc>
        <w:tc>
          <w:tcPr>
            <w:tcW w:w="476" w:type="pct"/>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hideMark/>
          </w:tcPr>
          <w:p w:rsidR="001E01DC" w:rsidRPr="00CD00B3" w:rsidRDefault="001E01DC" w:rsidP="005120C8">
            <w:pPr>
              <w:jc w:val="center"/>
              <w:rPr>
                <w:rFonts w:asciiTheme="majorBidi" w:eastAsia="Times New Roman" w:hAnsiTheme="majorBidi" w:cstheme="majorBidi"/>
                <w:b/>
                <w:bCs/>
                <w:color w:val="000000"/>
                <w:sz w:val="20"/>
                <w:szCs w:val="20"/>
              </w:rPr>
            </w:pPr>
            <w:r w:rsidRPr="00CD00B3">
              <w:rPr>
                <w:rFonts w:asciiTheme="majorBidi" w:eastAsia="Times New Roman" w:hAnsiTheme="majorBidi" w:cstheme="majorBidi"/>
                <w:b/>
                <w:bCs/>
                <w:color w:val="000000"/>
                <w:sz w:val="20"/>
                <w:szCs w:val="20"/>
              </w:rPr>
              <w:t>Autumn</w:t>
            </w:r>
          </w:p>
        </w:tc>
        <w:tc>
          <w:tcPr>
            <w:tcW w:w="576" w:type="pct"/>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hideMark/>
          </w:tcPr>
          <w:p w:rsidR="001E01DC" w:rsidRPr="00CD00B3" w:rsidRDefault="001E01DC" w:rsidP="005120C8">
            <w:pPr>
              <w:jc w:val="center"/>
              <w:rPr>
                <w:rFonts w:asciiTheme="majorBidi" w:eastAsia="Times New Roman" w:hAnsiTheme="majorBidi" w:cstheme="majorBidi"/>
                <w:b/>
                <w:bCs/>
                <w:color w:val="000000"/>
                <w:sz w:val="20"/>
                <w:szCs w:val="20"/>
              </w:rPr>
            </w:pPr>
            <w:r w:rsidRPr="00CD00B3">
              <w:rPr>
                <w:rFonts w:asciiTheme="majorBidi" w:eastAsia="Times New Roman" w:hAnsiTheme="majorBidi" w:cstheme="majorBidi"/>
                <w:b/>
                <w:bCs/>
                <w:color w:val="000000"/>
                <w:sz w:val="20"/>
                <w:szCs w:val="20"/>
              </w:rPr>
              <w:t>Summer</w:t>
            </w:r>
          </w:p>
        </w:tc>
        <w:tc>
          <w:tcPr>
            <w:tcW w:w="449" w:type="pct"/>
            <w:tcBorders>
              <w:top w:val="single" w:sz="12" w:space="0" w:color="auto"/>
              <w:left w:val="single" w:sz="12" w:space="0" w:color="auto"/>
              <w:bottom w:val="single" w:sz="12" w:space="0" w:color="auto"/>
              <w:right w:val="single" w:sz="12" w:space="0" w:color="auto"/>
            </w:tcBorders>
            <w:shd w:val="clear" w:color="auto" w:fill="F7CAAC" w:themeFill="accent2" w:themeFillTint="66"/>
            <w:vAlign w:val="center"/>
            <w:hideMark/>
          </w:tcPr>
          <w:p w:rsidR="001E01DC" w:rsidRPr="00CD00B3" w:rsidRDefault="001E01DC" w:rsidP="005120C8">
            <w:pPr>
              <w:jc w:val="center"/>
              <w:rPr>
                <w:rFonts w:asciiTheme="majorBidi" w:eastAsia="Times New Roman" w:hAnsiTheme="majorBidi" w:cstheme="majorBidi"/>
                <w:b/>
                <w:bCs/>
                <w:color w:val="000000"/>
                <w:sz w:val="20"/>
                <w:szCs w:val="20"/>
                <w:rtl/>
                <w:lang w:bidi="fa-IR"/>
              </w:rPr>
            </w:pPr>
            <w:r w:rsidRPr="00CD00B3">
              <w:rPr>
                <w:rFonts w:asciiTheme="majorBidi" w:eastAsia="Times New Roman" w:hAnsiTheme="majorBidi" w:cstheme="majorBidi"/>
                <w:b/>
                <w:bCs/>
                <w:color w:val="000000"/>
                <w:sz w:val="20"/>
                <w:szCs w:val="20"/>
              </w:rPr>
              <w:t>Spring</w:t>
            </w:r>
          </w:p>
        </w:tc>
        <w:tc>
          <w:tcPr>
            <w:tcW w:w="1819" w:type="pct"/>
            <w:tcBorders>
              <w:top w:val="single" w:sz="12" w:space="0" w:color="auto"/>
              <w:left w:val="single" w:sz="12" w:space="0" w:color="auto"/>
              <w:bottom w:val="single" w:sz="12" w:space="0" w:color="auto"/>
              <w:right w:val="nil"/>
            </w:tcBorders>
            <w:shd w:val="clear" w:color="auto" w:fill="F7CAAC" w:themeFill="accent2" w:themeFillTint="66"/>
            <w:vAlign w:val="center"/>
            <w:hideMark/>
          </w:tcPr>
          <w:p w:rsidR="001E01DC" w:rsidRPr="0046570A" w:rsidRDefault="001E01DC" w:rsidP="005120C8">
            <w:pPr>
              <w:jc w:val="center"/>
              <w:rPr>
                <w:rFonts w:asciiTheme="majorBidi" w:eastAsia="Times New Roman" w:hAnsiTheme="majorBidi" w:cstheme="majorBidi"/>
                <w:b/>
                <w:bCs/>
                <w:color w:val="000000"/>
                <w:lang w:bidi="fa-IR"/>
              </w:rPr>
            </w:pPr>
            <w:r>
              <w:rPr>
                <w:rFonts w:asciiTheme="majorBidi" w:eastAsia="Times New Roman" w:hAnsiTheme="majorBidi" w:cstheme="majorBidi"/>
                <w:b/>
                <w:bCs/>
                <w:color w:val="000000"/>
              </w:rPr>
              <w:t>Year</w:t>
            </w:r>
          </w:p>
        </w:tc>
      </w:tr>
      <w:tr w:rsidR="001E01DC" w:rsidRPr="0046570A" w:rsidTr="005120C8">
        <w:trPr>
          <w:trHeight w:val="417"/>
        </w:trPr>
        <w:tc>
          <w:tcPr>
            <w:tcW w:w="628" w:type="pct"/>
            <w:tcBorders>
              <w:top w:val="single" w:sz="12" w:space="0" w:color="auto"/>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0.0</w:t>
            </w:r>
          </w:p>
        </w:tc>
        <w:tc>
          <w:tcPr>
            <w:tcW w:w="560" w:type="pct"/>
            <w:tcBorders>
              <w:top w:val="single" w:sz="12" w:space="0" w:color="auto"/>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100.0</w:t>
            </w:r>
          </w:p>
        </w:tc>
        <w:tc>
          <w:tcPr>
            <w:tcW w:w="492" w:type="pct"/>
            <w:tcBorders>
              <w:top w:val="single" w:sz="12" w:space="0" w:color="auto"/>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108.1</w:t>
            </w:r>
          </w:p>
        </w:tc>
        <w:tc>
          <w:tcPr>
            <w:tcW w:w="476" w:type="pct"/>
            <w:tcBorders>
              <w:top w:val="single" w:sz="12" w:space="0" w:color="auto"/>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98.6</w:t>
            </w:r>
          </w:p>
        </w:tc>
        <w:tc>
          <w:tcPr>
            <w:tcW w:w="576" w:type="pct"/>
            <w:tcBorders>
              <w:top w:val="single" w:sz="12" w:space="0" w:color="auto"/>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97.4</w:t>
            </w:r>
          </w:p>
        </w:tc>
        <w:tc>
          <w:tcPr>
            <w:tcW w:w="449" w:type="pct"/>
            <w:tcBorders>
              <w:top w:val="single" w:sz="12" w:space="0" w:color="auto"/>
              <w:left w:val="nil"/>
              <w:bottom w:val="nil"/>
              <w:right w:val="single" w:sz="12" w:space="0" w:color="auto"/>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96.0</w:t>
            </w:r>
          </w:p>
        </w:tc>
        <w:tc>
          <w:tcPr>
            <w:tcW w:w="1819" w:type="pct"/>
            <w:tcBorders>
              <w:top w:val="single" w:sz="12" w:space="0" w:color="auto"/>
              <w:left w:val="single" w:sz="12" w:space="0" w:color="auto"/>
              <w:bottom w:val="nil"/>
              <w:right w:val="nil"/>
            </w:tcBorders>
            <w:shd w:val="clear" w:color="auto" w:fill="auto"/>
            <w:vAlign w:val="center"/>
          </w:tcPr>
          <w:p w:rsidR="001E01DC" w:rsidRPr="0046570A" w:rsidRDefault="001E01DC" w:rsidP="005120C8">
            <w:pPr>
              <w:tabs>
                <w:tab w:val="left" w:leader="dot" w:pos="3153"/>
              </w:tabs>
              <w:rPr>
                <w:rFonts w:asciiTheme="majorBidi" w:eastAsia="Times New Roman" w:hAnsiTheme="majorBidi" w:cstheme="majorBidi"/>
                <w:color w:val="000000"/>
              </w:rPr>
            </w:pPr>
            <w:r>
              <w:rPr>
                <w:rFonts w:asciiTheme="majorBidi" w:eastAsia="Times New Roman" w:hAnsiTheme="majorBidi" w:cstheme="majorBidi"/>
                <w:color w:val="000000"/>
              </w:rPr>
              <w:t>1390</w:t>
            </w:r>
            <w:r>
              <w:rPr>
                <w:rFonts w:asciiTheme="majorBidi" w:eastAsia="Times New Roman" w:hAnsiTheme="majorBidi" w:cstheme="majorBidi"/>
                <w:color w:val="000000"/>
              </w:rPr>
              <w:tab/>
            </w:r>
          </w:p>
        </w:tc>
      </w:tr>
      <w:tr w:rsidR="001E01DC" w:rsidRPr="0046570A" w:rsidTr="005120C8">
        <w:trPr>
          <w:trHeight w:val="423"/>
        </w:trPr>
        <w:tc>
          <w:tcPr>
            <w:tcW w:w="628"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36.7</w:t>
            </w:r>
          </w:p>
        </w:tc>
        <w:tc>
          <w:tcPr>
            <w:tcW w:w="560"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136.7</w:t>
            </w:r>
          </w:p>
        </w:tc>
        <w:tc>
          <w:tcPr>
            <w:tcW w:w="492"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152.9</w:t>
            </w:r>
          </w:p>
        </w:tc>
        <w:tc>
          <w:tcPr>
            <w:tcW w:w="476"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145.4</w:t>
            </w:r>
          </w:p>
        </w:tc>
        <w:tc>
          <w:tcPr>
            <w:tcW w:w="576"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131.6</w:t>
            </w:r>
          </w:p>
        </w:tc>
        <w:tc>
          <w:tcPr>
            <w:tcW w:w="449" w:type="pct"/>
            <w:tcBorders>
              <w:top w:val="nil"/>
              <w:left w:val="nil"/>
              <w:bottom w:val="nil"/>
              <w:right w:val="single" w:sz="12" w:space="0" w:color="auto"/>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116.9</w:t>
            </w:r>
          </w:p>
        </w:tc>
        <w:tc>
          <w:tcPr>
            <w:tcW w:w="1819" w:type="pct"/>
            <w:tcBorders>
              <w:top w:val="nil"/>
              <w:left w:val="single" w:sz="12" w:space="0" w:color="auto"/>
              <w:bottom w:val="nil"/>
              <w:right w:val="nil"/>
            </w:tcBorders>
            <w:shd w:val="clear" w:color="auto" w:fill="auto"/>
            <w:vAlign w:val="center"/>
          </w:tcPr>
          <w:p w:rsidR="001E01DC" w:rsidRPr="0046570A" w:rsidRDefault="001E01DC" w:rsidP="005120C8">
            <w:pPr>
              <w:tabs>
                <w:tab w:val="left" w:leader="dot" w:pos="3153"/>
              </w:tabs>
              <w:ind w:left="34"/>
              <w:rPr>
                <w:rFonts w:asciiTheme="majorBidi" w:eastAsia="Times New Roman" w:hAnsiTheme="majorBidi" w:cstheme="majorBidi"/>
                <w:color w:val="000000"/>
              </w:rPr>
            </w:pPr>
            <w:r>
              <w:rPr>
                <w:rFonts w:asciiTheme="majorBidi" w:eastAsia="Times New Roman" w:hAnsiTheme="majorBidi" w:cstheme="majorBidi"/>
                <w:color w:val="000000"/>
              </w:rPr>
              <w:t>1391</w:t>
            </w:r>
            <w:r>
              <w:rPr>
                <w:rFonts w:asciiTheme="majorBidi" w:eastAsia="Times New Roman" w:hAnsiTheme="majorBidi" w:cstheme="majorBidi"/>
                <w:color w:val="000000"/>
              </w:rPr>
              <w:tab/>
            </w:r>
          </w:p>
        </w:tc>
      </w:tr>
      <w:tr w:rsidR="001E01DC" w:rsidRPr="0046570A" w:rsidTr="005120C8">
        <w:trPr>
          <w:trHeight w:val="415"/>
        </w:trPr>
        <w:tc>
          <w:tcPr>
            <w:tcW w:w="628"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23.8</w:t>
            </w:r>
          </w:p>
        </w:tc>
        <w:tc>
          <w:tcPr>
            <w:tcW w:w="560"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169.3</w:t>
            </w:r>
          </w:p>
        </w:tc>
        <w:tc>
          <w:tcPr>
            <w:tcW w:w="492"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170.0</w:t>
            </w:r>
          </w:p>
        </w:tc>
        <w:tc>
          <w:tcPr>
            <w:tcW w:w="476"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167.0</w:t>
            </w:r>
          </w:p>
        </w:tc>
        <w:tc>
          <w:tcPr>
            <w:tcW w:w="576"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170.0</w:t>
            </w:r>
          </w:p>
        </w:tc>
        <w:tc>
          <w:tcPr>
            <w:tcW w:w="449" w:type="pct"/>
            <w:tcBorders>
              <w:top w:val="nil"/>
              <w:left w:val="nil"/>
              <w:bottom w:val="nil"/>
              <w:right w:val="single" w:sz="12" w:space="0" w:color="auto"/>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170.1</w:t>
            </w:r>
          </w:p>
        </w:tc>
        <w:tc>
          <w:tcPr>
            <w:tcW w:w="1819" w:type="pct"/>
            <w:tcBorders>
              <w:top w:val="nil"/>
              <w:left w:val="single" w:sz="12" w:space="0" w:color="auto"/>
              <w:bottom w:val="nil"/>
              <w:right w:val="nil"/>
            </w:tcBorders>
            <w:shd w:val="clear" w:color="auto" w:fill="auto"/>
            <w:vAlign w:val="center"/>
          </w:tcPr>
          <w:p w:rsidR="001E01DC" w:rsidRPr="0046570A" w:rsidRDefault="001E01DC" w:rsidP="005120C8">
            <w:pPr>
              <w:tabs>
                <w:tab w:val="left" w:leader="dot" w:pos="3153"/>
              </w:tabs>
              <w:ind w:left="34"/>
              <w:rPr>
                <w:rFonts w:asciiTheme="majorBidi" w:eastAsia="Times New Roman" w:hAnsiTheme="majorBidi" w:cstheme="majorBidi"/>
                <w:color w:val="000000"/>
              </w:rPr>
            </w:pPr>
            <w:r>
              <w:rPr>
                <w:rFonts w:asciiTheme="majorBidi" w:eastAsia="Times New Roman" w:hAnsiTheme="majorBidi" w:cstheme="majorBidi"/>
                <w:color w:val="000000"/>
              </w:rPr>
              <w:t>1392</w:t>
            </w:r>
            <w:r>
              <w:rPr>
                <w:rFonts w:asciiTheme="majorBidi" w:eastAsia="Times New Roman" w:hAnsiTheme="majorBidi" w:cstheme="majorBidi"/>
                <w:color w:val="000000"/>
              </w:rPr>
              <w:tab/>
            </w:r>
          </w:p>
        </w:tc>
      </w:tr>
      <w:tr w:rsidR="001E01DC" w:rsidRPr="0046570A" w:rsidTr="005120C8">
        <w:trPr>
          <w:trHeight w:val="407"/>
        </w:trPr>
        <w:tc>
          <w:tcPr>
            <w:tcW w:w="628"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6.7</w:t>
            </w:r>
          </w:p>
        </w:tc>
        <w:tc>
          <w:tcPr>
            <w:tcW w:w="560"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180.5</w:t>
            </w:r>
          </w:p>
        </w:tc>
        <w:tc>
          <w:tcPr>
            <w:tcW w:w="492"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174.9</w:t>
            </w:r>
          </w:p>
        </w:tc>
        <w:tc>
          <w:tcPr>
            <w:tcW w:w="476"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184.7</w:t>
            </w:r>
          </w:p>
        </w:tc>
        <w:tc>
          <w:tcPr>
            <w:tcW w:w="576"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184.4</w:t>
            </w:r>
          </w:p>
        </w:tc>
        <w:tc>
          <w:tcPr>
            <w:tcW w:w="449" w:type="pct"/>
            <w:tcBorders>
              <w:top w:val="nil"/>
              <w:left w:val="nil"/>
              <w:bottom w:val="nil"/>
              <w:right w:val="single" w:sz="12" w:space="0" w:color="auto"/>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178.1</w:t>
            </w:r>
          </w:p>
        </w:tc>
        <w:tc>
          <w:tcPr>
            <w:tcW w:w="1819" w:type="pct"/>
            <w:tcBorders>
              <w:top w:val="nil"/>
              <w:left w:val="single" w:sz="12" w:space="0" w:color="auto"/>
              <w:bottom w:val="nil"/>
              <w:right w:val="nil"/>
            </w:tcBorders>
            <w:shd w:val="clear" w:color="auto" w:fill="auto"/>
            <w:vAlign w:val="center"/>
          </w:tcPr>
          <w:p w:rsidR="001E01DC" w:rsidRPr="0046570A" w:rsidRDefault="001E01DC" w:rsidP="005120C8">
            <w:pPr>
              <w:tabs>
                <w:tab w:val="left" w:leader="dot" w:pos="3153"/>
              </w:tabs>
              <w:ind w:left="34"/>
              <w:rPr>
                <w:rFonts w:asciiTheme="majorBidi" w:eastAsia="Times New Roman" w:hAnsiTheme="majorBidi" w:cstheme="majorBidi"/>
                <w:color w:val="000000"/>
              </w:rPr>
            </w:pPr>
            <w:r>
              <w:rPr>
                <w:rFonts w:asciiTheme="majorBidi" w:eastAsia="Times New Roman" w:hAnsiTheme="majorBidi" w:cstheme="majorBidi"/>
                <w:color w:val="000000"/>
              </w:rPr>
              <w:t>1393</w:t>
            </w:r>
            <w:r>
              <w:rPr>
                <w:rFonts w:asciiTheme="majorBidi" w:eastAsia="Times New Roman" w:hAnsiTheme="majorBidi" w:cstheme="majorBidi"/>
                <w:color w:val="000000"/>
              </w:rPr>
              <w:tab/>
            </w:r>
          </w:p>
        </w:tc>
      </w:tr>
      <w:tr w:rsidR="001E01DC" w:rsidRPr="0046570A" w:rsidTr="005120C8">
        <w:trPr>
          <w:trHeight w:val="407"/>
        </w:trPr>
        <w:tc>
          <w:tcPr>
            <w:tcW w:w="628"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-1.8</w:t>
            </w:r>
          </w:p>
        </w:tc>
        <w:tc>
          <w:tcPr>
            <w:tcW w:w="560"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177.2</w:t>
            </w:r>
          </w:p>
        </w:tc>
        <w:tc>
          <w:tcPr>
            <w:tcW w:w="492"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175.7</w:t>
            </w:r>
          </w:p>
        </w:tc>
        <w:tc>
          <w:tcPr>
            <w:tcW w:w="476"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176.1</w:t>
            </w:r>
          </w:p>
        </w:tc>
        <w:tc>
          <w:tcPr>
            <w:tcW w:w="576"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178.7</w:t>
            </w:r>
          </w:p>
        </w:tc>
        <w:tc>
          <w:tcPr>
            <w:tcW w:w="449" w:type="pct"/>
            <w:tcBorders>
              <w:top w:val="nil"/>
              <w:left w:val="nil"/>
              <w:bottom w:val="nil"/>
              <w:right w:val="single" w:sz="12" w:space="0" w:color="auto"/>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178.3</w:t>
            </w:r>
          </w:p>
        </w:tc>
        <w:tc>
          <w:tcPr>
            <w:tcW w:w="1819" w:type="pct"/>
            <w:tcBorders>
              <w:top w:val="nil"/>
              <w:left w:val="single" w:sz="12" w:space="0" w:color="auto"/>
              <w:bottom w:val="nil"/>
              <w:right w:val="nil"/>
            </w:tcBorders>
            <w:shd w:val="clear" w:color="auto" w:fill="auto"/>
            <w:vAlign w:val="center"/>
          </w:tcPr>
          <w:p w:rsidR="001E01DC" w:rsidRPr="0046570A" w:rsidRDefault="001E01DC" w:rsidP="005120C8">
            <w:pPr>
              <w:tabs>
                <w:tab w:val="left" w:leader="dot" w:pos="3153"/>
              </w:tabs>
              <w:ind w:left="34"/>
              <w:rPr>
                <w:rFonts w:asciiTheme="majorBidi" w:eastAsia="Times New Roman" w:hAnsiTheme="majorBidi" w:cstheme="majorBidi"/>
                <w:color w:val="000000"/>
              </w:rPr>
            </w:pPr>
            <w:r>
              <w:rPr>
                <w:rFonts w:asciiTheme="majorBidi" w:eastAsia="Times New Roman" w:hAnsiTheme="majorBidi" w:cstheme="majorBidi"/>
                <w:color w:val="000000"/>
              </w:rPr>
              <w:t>1394</w:t>
            </w:r>
            <w:r>
              <w:rPr>
                <w:rFonts w:asciiTheme="majorBidi" w:eastAsia="Times New Roman" w:hAnsiTheme="majorBidi" w:cstheme="majorBidi"/>
                <w:color w:val="000000"/>
              </w:rPr>
              <w:tab/>
            </w:r>
          </w:p>
        </w:tc>
      </w:tr>
      <w:tr w:rsidR="001E01DC" w:rsidRPr="0046570A" w:rsidTr="005120C8">
        <w:trPr>
          <w:trHeight w:val="70"/>
        </w:trPr>
        <w:tc>
          <w:tcPr>
            <w:tcW w:w="628"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6.6</w:t>
            </w:r>
          </w:p>
        </w:tc>
        <w:tc>
          <w:tcPr>
            <w:tcW w:w="560"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188.9</w:t>
            </w:r>
          </w:p>
        </w:tc>
        <w:tc>
          <w:tcPr>
            <w:tcW w:w="492"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191.6</w:t>
            </w:r>
          </w:p>
        </w:tc>
        <w:tc>
          <w:tcPr>
            <w:tcW w:w="476"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193.5</w:t>
            </w:r>
          </w:p>
        </w:tc>
        <w:tc>
          <w:tcPr>
            <w:tcW w:w="576" w:type="pct"/>
            <w:tcBorders>
              <w:top w:val="nil"/>
              <w:left w:val="nil"/>
              <w:bottom w:val="nil"/>
              <w:right w:val="nil"/>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186.6</w:t>
            </w:r>
          </w:p>
        </w:tc>
        <w:tc>
          <w:tcPr>
            <w:tcW w:w="449" w:type="pct"/>
            <w:tcBorders>
              <w:top w:val="nil"/>
              <w:left w:val="nil"/>
              <w:bottom w:val="nil"/>
              <w:right w:val="single" w:sz="12" w:space="0" w:color="auto"/>
            </w:tcBorders>
            <w:shd w:val="clear" w:color="auto" w:fill="auto"/>
            <w:vAlign w:val="center"/>
          </w:tcPr>
          <w:p w:rsidR="001E01DC" w:rsidRPr="00CD00B3" w:rsidRDefault="001E01DC" w:rsidP="00B84D9F">
            <w:pPr>
              <w:jc w:val="center"/>
              <w:rPr>
                <w:rFonts w:asciiTheme="majorBidi" w:hAnsiTheme="majorBidi" w:cstheme="majorBidi"/>
                <w:color w:val="000000"/>
              </w:rPr>
            </w:pPr>
            <w:r w:rsidRPr="00CD00B3">
              <w:rPr>
                <w:rFonts w:asciiTheme="majorBidi" w:hAnsiTheme="majorBidi" w:cstheme="majorBidi"/>
                <w:color w:val="000000"/>
              </w:rPr>
              <w:t>183.9</w:t>
            </w:r>
          </w:p>
        </w:tc>
        <w:tc>
          <w:tcPr>
            <w:tcW w:w="1819" w:type="pct"/>
            <w:tcBorders>
              <w:top w:val="nil"/>
              <w:left w:val="single" w:sz="12" w:space="0" w:color="auto"/>
              <w:bottom w:val="nil"/>
              <w:right w:val="nil"/>
            </w:tcBorders>
            <w:shd w:val="clear" w:color="auto" w:fill="auto"/>
            <w:vAlign w:val="center"/>
          </w:tcPr>
          <w:p w:rsidR="001E01DC" w:rsidRPr="0046570A" w:rsidRDefault="001E01DC" w:rsidP="005120C8">
            <w:pPr>
              <w:tabs>
                <w:tab w:val="left" w:leader="dot" w:pos="3153"/>
              </w:tabs>
              <w:ind w:left="34"/>
              <w:rPr>
                <w:rFonts w:asciiTheme="majorBidi" w:eastAsia="Times New Roman" w:hAnsiTheme="majorBidi" w:cstheme="majorBidi"/>
                <w:color w:val="000000"/>
              </w:rPr>
            </w:pPr>
            <w:r>
              <w:rPr>
                <w:rFonts w:asciiTheme="majorBidi" w:eastAsia="Times New Roman" w:hAnsiTheme="majorBidi" w:cstheme="majorBidi"/>
                <w:color w:val="000000"/>
              </w:rPr>
              <w:t>1395</w:t>
            </w:r>
            <w:r>
              <w:rPr>
                <w:rFonts w:asciiTheme="majorBidi" w:eastAsia="Times New Roman" w:hAnsiTheme="majorBidi" w:cstheme="majorBidi"/>
                <w:color w:val="000000"/>
              </w:rPr>
              <w:tab/>
            </w:r>
          </w:p>
        </w:tc>
      </w:tr>
      <w:tr w:rsidR="001E01DC" w:rsidRPr="0046570A" w:rsidTr="005120C8">
        <w:trPr>
          <w:trHeight w:val="407"/>
        </w:trPr>
        <w:tc>
          <w:tcPr>
            <w:tcW w:w="628" w:type="pct"/>
            <w:tcBorders>
              <w:top w:val="nil"/>
              <w:left w:val="nil"/>
              <w:bottom w:val="single" w:sz="12" w:space="0" w:color="auto"/>
              <w:right w:val="nil"/>
            </w:tcBorders>
            <w:shd w:val="clear" w:color="auto" w:fill="auto"/>
            <w:vAlign w:val="center"/>
          </w:tcPr>
          <w:p w:rsidR="001E01DC" w:rsidRPr="00B84D9F" w:rsidRDefault="006F36BF" w:rsidP="00B84D9F">
            <w:pPr>
              <w:jc w:val="center"/>
              <w:rPr>
                <w:rFonts w:asciiTheme="majorBidi" w:hAnsiTheme="majorBidi" w:cstheme="majorBidi"/>
                <w:b/>
                <w:bCs/>
                <w:color w:val="000000"/>
              </w:rPr>
            </w:pPr>
            <w:r w:rsidRPr="00B84D9F">
              <w:rPr>
                <w:rFonts w:asciiTheme="majorBidi" w:hAnsiTheme="majorBidi" w:cstheme="majorBidi"/>
                <w:b/>
                <w:bCs/>
                <w:color w:val="000000"/>
              </w:rPr>
              <w:t>-</w:t>
            </w:r>
          </w:p>
        </w:tc>
        <w:tc>
          <w:tcPr>
            <w:tcW w:w="560" w:type="pct"/>
            <w:tcBorders>
              <w:top w:val="nil"/>
              <w:left w:val="nil"/>
              <w:bottom w:val="single" w:sz="12" w:space="0" w:color="auto"/>
              <w:right w:val="nil"/>
            </w:tcBorders>
            <w:shd w:val="clear" w:color="auto" w:fill="auto"/>
            <w:vAlign w:val="center"/>
          </w:tcPr>
          <w:p w:rsidR="001E01DC" w:rsidRPr="00B84D9F" w:rsidRDefault="006F36BF" w:rsidP="00B84D9F">
            <w:pPr>
              <w:jc w:val="center"/>
              <w:rPr>
                <w:rFonts w:asciiTheme="majorBidi" w:hAnsiTheme="majorBidi" w:cstheme="majorBidi"/>
                <w:b/>
                <w:bCs/>
                <w:color w:val="000000"/>
              </w:rPr>
            </w:pPr>
            <w:r w:rsidRPr="00B84D9F">
              <w:rPr>
                <w:rFonts w:asciiTheme="majorBidi" w:hAnsiTheme="majorBidi" w:cstheme="majorBidi"/>
                <w:b/>
                <w:bCs/>
                <w:color w:val="000000"/>
              </w:rPr>
              <w:t>-</w:t>
            </w:r>
          </w:p>
        </w:tc>
        <w:tc>
          <w:tcPr>
            <w:tcW w:w="492" w:type="pct"/>
            <w:tcBorders>
              <w:top w:val="nil"/>
              <w:left w:val="nil"/>
              <w:bottom w:val="single" w:sz="12" w:space="0" w:color="auto"/>
              <w:right w:val="nil"/>
            </w:tcBorders>
            <w:shd w:val="clear" w:color="auto" w:fill="auto"/>
            <w:vAlign w:val="center"/>
          </w:tcPr>
          <w:p w:rsidR="001E01DC" w:rsidRPr="00B84D9F" w:rsidRDefault="006F36BF" w:rsidP="00B84D9F">
            <w:pPr>
              <w:jc w:val="center"/>
              <w:rPr>
                <w:rFonts w:asciiTheme="majorBidi" w:hAnsiTheme="majorBidi" w:cstheme="majorBidi"/>
                <w:b/>
                <w:bCs/>
                <w:color w:val="000000"/>
              </w:rPr>
            </w:pPr>
            <w:r w:rsidRPr="00B84D9F">
              <w:rPr>
                <w:rFonts w:asciiTheme="majorBidi" w:hAnsiTheme="majorBidi" w:cstheme="majorBidi"/>
                <w:b/>
                <w:bCs/>
                <w:color w:val="000000"/>
              </w:rPr>
              <w:t>-</w:t>
            </w:r>
          </w:p>
        </w:tc>
        <w:tc>
          <w:tcPr>
            <w:tcW w:w="476" w:type="pct"/>
            <w:tcBorders>
              <w:top w:val="nil"/>
              <w:left w:val="nil"/>
              <w:bottom w:val="single" w:sz="12" w:space="0" w:color="auto"/>
              <w:right w:val="nil"/>
            </w:tcBorders>
            <w:shd w:val="clear" w:color="auto" w:fill="auto"/>
            <w:vAlign w:val="center"/>
          </w:tcPr>
          <w:p w:rsidR="001E01DC" w:rsidRPr="00B84D9F" w:rsidRDefault="001E01DC" w:rsidP="00B84D9F">
            <w:pPr>
              <w:jc w:val="center"/>
              <w:rPr>
                <w:rFonts w:asciiTheme="majorBidi" w:hAnsiTheme="majorBidi" w:cstheme="majorBidi"/>
                <w:b/>
                <w:bCs/>
                <w:color w:val="000000"/>
              </w:rPr>
            </w:pPr>
            <w:r w:rsidRPr="00B84D9F">
              <w:rPr>
                <w:rFonts w:asciiTheme="majorBidi" w:hAnsiTheme="majorBidi" w:cstheme="majorBidi"/>
                <w:b/>
                <w:bCs/>
                <w:color w:val="000000"/>
              </w:rPr>
              <w:t>216.7</w:t>
            </w:r>
          </w:p>
        </w:tc>
        <w:tc>
          <w:tcPr>
            <w:tcW w:w="576" w:type="pct"/>
            <w:tcBorders>
              <w:top w:val="nil"/>
              <w:left w:val="nil"/>
              <w:bottom w:val="single" w:sz="12" w:space="0" w:color="auto"/>
              <w:right w:val="nil"/>
            </w:tcBorders>
            <w:shd w:val="clear" w:color="auto" w:fill="auto"/>
            <w:vAlign w:val="center"/>
          </w:tcPr>
          <w:p w:rsidR="001E01DC" w:rsidRPr="00CD00B3" w:rsidRDefault="001E01DC" w:rsidP="00B84D9F">
            <w:pPr>
              <w:jc w:val="center"/>
              <w:rPr>
                <w:rFonts w:asciiTheme="majorBidi" w:hAnsiTheme="majorBidi" w:cstheme="majorBidi"/>
                <w:b/>
                <w:bCs/>
                <w:color w:val="000000"/>
              </w:rPr>
            </w:pPr>
            <w:r w:rsidRPr="00CD00B3">
              <w:rPr>
                <w:rFonts w:asciiTheme="majorBidi" w:hAnsiTheme="majorBidi" w:cstheme="majorBidi"/>
                <w:b/>
                <w:bCs/>
                <w:color w:val="000000"/>
              </w:rPr>
              <w:t>211.6</w:t>
            </w:r>
          </w:p>
        </w:tc>
        <w:tc>
          <w:tcPr>
            <w:tcW w:w="449" w:type="pct"/>
            <w:tcBorders>
              <w:top w:val="nil"/>
              <w:left w:val="nil"/>
              <w:bottom w:val="single" w:sz="12" w:space="0" w:color="auto"/>
              <w:right w:val="single" w:sz="12" w:space="0" w:color="auto"/>
            </w:tcBorders>
            <w:shd w:val="clear" w:color="auto" w:fill="auto"/>
            <w:vAlign w:val="center"/>
          </w:tcPr>
          <w:p w:rsidR="001E01DC" w:rsidRPr="00CD00B3" w:rsidRDefault="001E01DC" w:rsidP="00B84D9F">
            <w:pPr>
              <w:jc w:val="center"/>
              <w:rPr>
                <w:rFonts w:asciiTheme="majorBidi" w:hAnsiTheme="majorBidi" w:cstheme="majorBidi"/>
                <w:b/>
                <w:bCs/>
                <w:color w:val="000000"/>
              </w:rPr>
            </w:pPr>
            <w:r w:rsidRPr="00CD00B3">
              <w:rPr>
                <w:rFonts w:asciiTheme="majorBidi" w:hAnsiTheme="majorBidi" w:cstheme="majorBidi"/>
                <w:b/>
                <w:bCs/>
                <w:color w:val="000000"/>
              </w:rPr>
              <w:t>197.1</w:t>
            </w:r>
          </w:p>
        </w:tc>
        <w:tc>
          <w:tcPr>
            <w:tcW w:w="1819" w:type="pct"/>
            <w:tcBorders>
              <w:top w:val="nil"/>
              <w:left w:val="single" w:sz="12" w:space="0" w:color="auto"/>
              <w:bottom w:val="single" w:sz="12" w:space="0" w:color="auto"/>
              <w:right w:val="nil"/>
            </w:tcBorders>
            <w:shd w:val="clear" w:color="auto" w:fill="auto"/>
            <w:vAlign w:val="center"/>
          </w:tcPr>
          <w:p w:rsidR="001E01DC" w:rsidRPr="0046570A" w:rsidRDefault="001E01DC" w:rsidP="005120C8">
            <w:pPr>
              <w:tabs>
                <w:tab w:val="left" w:leader="dot" w:pos="3153"/>
              </w:tabs>
              <w:ind w:left="34"/>
              <w:rPr>
                <w:rFonts w:asciiTheme="majorBidi" w:eastAsia="Times New Roman" w:hAnsiTheme="majorBidi" w:cstheme="majorBidi"/>
                <w:b/>
                <w:bCs/>
                <w:color w:val="000000"/>
                <w:rtl/>
              </w:rPr>
            </w:pPr>
            <w:r>
              <w:rPr>
                <w:rFonts w:asciiTheme="majorBidi" w:eastAsia="Times New Roman" w:hAnsiTheme="majorBidi" w:cstheme="majorBidi"/>
                <w:b/>
                <w:bCs/>
                <w:color w:val="000000"/>
              </w:rPr>
              <w:t>1396</w:t>
            </w:r>
            <w:r>
              <w:rPr>
                <w:rFonts w:asciiTheme="majorBidi" w:eastAsia="Times New Roman" w:hAnsiTheme="majorBidi" w:cstheme="majorBidi"/>
                <w:b/>
                <w:bCs/>
                <w:color w:val="000000"/>
              </w:rPr>
              <w:tab/>
            </w:r>
          </w:p>
        </w:tc>
      </w:tr>
    </w:tbl>
    <w:p w:rsidR="00077E1F" w:rsidRDefault="00077E1F" w:rsidP="00077E1F">
      <w:pPr>
        <w:jc w:val="both"/>
        <w:rPr>
          <w:b/>
          <w:bCs/>
          <w:sz w:val="28"/>
          <w:szCs w:val="28"/>
        </w:rPr>
      </w:pPr>
    </w:p>
    <w:p w:rsidR="00BD5823" w:rsidRDefault="00077E1F" w:rsidP="00BD5823">
      <w:pPr>
        <w:jc w:val="both"/>
        <w:rPr>
          <w:b/>
          <w:bCs/>
          <w:sz w:val="28"/>
          <w:szCs w:val="28"/>
        </w:rPr>
      </w:pPr>
      <w:r>
        <w:rPr>
          <w:b/>
          <w:bCs/>
          <w:sz w:val="28"/>
          <w:szCs w:val="28"/>
        </w:rPr>
        <w:t xml:space="preserve"> </w:t>
      </w:r>
      <w:r w:rsidR="00BD5823">
        <w:rPr>
          <w:b/>
          <w:bCs/>
          <w:sz w:val="28"/>
          <w:szCs w:val="28"/>
        </w:rPr>
        <w:t xml:space="preserve">                                                     </w:t>
      </w:r>
    </w:p>
    <w:p w:rsidR="00BD5823" w:rsidRDefault="00BD5823" w:rsidP="00BD5823">
      <w:pPr>
        <w:jc w:val="both"/>
        <w:rPr>
          <w:b/>
          <w:bCs/>
          <w:sz w:val="28"/>
          <w:szCs w:val="28"/>
        </w:rPr>
      </w:pPr>
    </w:p>
    <w:p w:rsidR="00077E1F" w:rsidRDefault="00077E1F" w:rsidP="00077E1F">
      <w:pPr>
        <w:jc w:val="both"/>
        <w:rPr>
          <w:b/>
          <w:bCs/>
          <w:sz w:val="28"/>
          <w:szCs w:val="28"/>
        </w:rPr>
      </w:pPr>
    </w:p>
    <w:p w:rsidR="00077E1F" w:rsidRDefault="00077E1F" w:rsidP="00077E1F">
      <w:pPr>
        <w:jc w:val="both"/>
        <w:rPr>
          <w:sz w:val="28"/>
          <w:szCs w:val="28"/>
        </w:rPr>
      </w:pPr>
    </w:p>
    <w:p w:rsidR="00077E1F" w:rsidRDefault="00077E1F" w:rsidP="00077E1F">
      <w:pPr>
        <w:jc w:val="both"/>
        <w:rPr>
          <w:sz w:val="28"/>
          <w:szCs w:val="28"/>
        </w:rPr>
      </w:pPr>
    </w:p>
    <w:p w:rsidR="00077E1F" w:rsidRPr="00077E1F" w:rsidRDefault="00077E1F" w:rsidP="00077E1F">
      <w:pPr>
        <w:jc w:val="both"/>
        <w:rPr>
          <w:sz w:val="28"/>
          <w:szCs w:val="28"/>
        </w:rPr>
      </w:pPr>
    </w:p>
    <w:sectPr w:rsidR="00077E1F" w:rsidRPr="00077E1F" w:rsidSect="00C474A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AFF" w:rsidRDefault="00B61AFF" w:rsidP="0043238E">
      <w:pPr>
        <w:spacing w:after="0" w:line="240" w:lineRule="auto"/>
      </w:pPr>
      <w:r>
        <w:separator/>
      </w:r>
    </w:p>
  </w:endnote>
  <w:endnote w:type="continuationSeparator" w:id="0">
    <w:p w:rsidR="00B61AFF" w:rsidRDefault="00B61AFF" w:rsidP="0043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AFF" w:rsidRDefault="00B61AFF" w:rsidP="0043238E">
      <w:pPr>
        <w:spacing w:after="0" w:line="240" w:lineRule="auto"/>
      </w:pPr>
      <w:r>
        <w:separator/>
      </w:r>
    </w:p>
  </w:footnote>
  <w:footnote w:type="continuationSeparator" w:id="0">
    <w:p w:rsidR="00B61AFF" w:rsidRDefault="00B61AFF" w:rsidP="0043238E">
      <w:pPr>
        <w:spacing w:after="0" w:line="240" w:lineRule="auto"/>
      </w:pPr>
      <w:r>
        <w:continuationSeparator/>
      </w:r>
    </w:p>
  </w:footnote>
  <w:footnote w:id="1">
    <w:p w:rsidR="0043238E" w:rsidRDefault="0043238E" w:rsidP="005E4939">
      <w:pPr>
        <w:pStyle w:val="FootnoteText"/>
        <w:jc w:val="lowKashida"/>
      </w:pPr>
      <w:r>
        <w:rPr>
          <w:rStyle w:val="FootnoteReference"/>
        </w:rPr>
        <w:footnoteRef/>
      </w:r>
      <w:r>
        <w:rPr>
          <w:rFonts w:hint="cs"/>
          <w:rtl/>
        </w:rPr>
        <w:t>-</w:t>
      </w:r>
      <w:r>
        <w:rPr>
          <w:rtl/>
        </w:rPr>
        <w:t xml:space="preserve"> </w:t>
      </w:r>
      <w:r w:rsidRPr="000030A9">
        <w:rPr>
          <w:bCs/>
        </w:rPr>
        <w:t xml:space="preserve"> </w:t>
      </w:r>
      <w:r w:rsidRPr="00100E1C">
        <w:rPr>
          <w:bCs/>
        </w:rPr>
        <w:t xml:space="preserve">It is the Iranian year which usually begins </w:t>
      </w:r>
      <w:r>
        <w:rPr>
          <w:bCs/>
        </w:rPr>
        <w:t>on</w:t>
      </w:r>
      <w:r w:rsidRPr="00100E1C">
        <w:rPr>
          <w:bCs/>
        </w:rPr>
        <w:t xml:space="preserve"> </w:t>
      </w:r>
      <w:r>
        <w:rPr>
          <w:bCs/>
        </w:rPr>
        <w:t>the</w:t>
      </w:r>
      <w:r w:rsidRPr="00100E1C">
        <w:rPr>
          <w:bCs/>
        </w:rPr>
        <w:t xml:space="preserve"> day of March 21</w:t>
      </w:r>
      <w:r w:rsidRPr="0070008D">
        <w:rPr>
          <w:bCs/>
          <w:vertAlign w:val="superscript"/>
        </w:rPr>
        <w:t>st</w:t>
      </w:r>
      <w:r>
        <w:rPr>
          <w:bCs/>
        </w:rPr>
        <w:t xml:space="preserve"> </w:t>
      </w:r>
      <w:r w:rsidRPr="00100E1C">
        <w:rPr>
          <w:bCs/>
        </w:rPr>
        <w:t xml:space="preserve">of the Gregorian calendar. To find the corresponding year of the Gregorian calendar, add 621 or 622 (depending on the time of the year) to a </w:t>
      </w:r>
      <w:hyperlink r:id="rId1" w:tooltip="Solar hijri" w:history="1">
        <w:r w:rsidRPr="00100E1C">
          <w:rPr>
            <w:bCs/>
          </w:rPr>
          <w:t xml:space="preserve">solar </w:t>
        </w:r>
        <w:r>
          <w:rPr>
            <w:bCs/>
          </w:rPr>
          <w:t>(</w:t>
        </w:r>
        <w:r w:rsidR="005E4939">
          <w:rPr>
            <w:bCs/>
          </w:rPr>
          <w:t>H</w:t>
        </w:r>
        <w:r w:rsidRPr="00100E1C">
          <w:rPr>
            <w:bCs/>
          </w:rPr>
          <w:t>ijri</w:t>
        </w:r>
      </w:hyperlink>
      <w:r>
        <w:rPr>
          <w:bCs/>
        </w:rPr>
        <w:t>)</w:t>
      </w:r>
      <w:r w:rsidRPr="00100E1C">
        <w:rPr>
          <w:bCs/>
        </w:rPr>
        <w:t xml:space="preserve"> year</w:t>
      </w:r>
      <w:r>
        <w:rPr>
          <w:bCs/>
        </w:rPr>
        <w:t xml:space="preserve">. </w:t>
      </w:r>
      <w:r w:rsidRPr="00100E1C">
        <w:rPr>
          <w:rFonts w:hint="cs"/>
          <w:bCs/>
          <w:rtl/>
        </w:rPr>
        <w:t xml:space="preserve"> </w:t>
      </w:r>
      <w:r w:rsidR="005E4939" w:rsidRPr="00100E1C">
        <w:rPr>
          <w:bCs/>
        </w:rPr>
        <w:t>For</w:t>
      </w:r>
      <w:r w:rsidRPr="00100E1C">
        <w:rPr>
          <w:bCs/>
        </w:rPr>
        <w:t xml:space="preserve"> example the corresponding year </w:t>
      </w:r>
      <w:r>
        <w:rPr>
          <w:bCs/>
        </w:rPr>
        <w:t xml:space="preserve">for </w:t>
      </w:r>
      <w:r w:rsidRPr="00100E1C">
        <w:rPr>
          <w:bCs/>
        </w:rPr>
        <w:t>the year 139</w:t>
      </w:r>
      <w:r w:rsidR="005E4939">
        <w:rPr>
          <w:bCs/>
        </w:rPr>
        <w:t>6</w:t>
      </w:r>
      <w:r w:rsidRPr="00100E1C">
        <w:rPr>
          <w:bCs/>
        </w:rPr>
        <w:t xml:space="preserve"> </w:t>
      </w:r>
      <w:r w:rsidR="005E4939" w:rsidRPr="00100E1C">
        <w:rPr>
          <w:bCs/>
        </w:rPr>
        <w:t>in the</w:t>
      </w:r>
      <w:r w:rsidRPr="00100E1C">
        <w:rPr>
          <w:bCs/>
        </w:rPr>
        <w:t xml:space="preserve"> Gregorian calendar is (21 March 201</w:t>
      </w:r>
      <w:r w:rsidR="005E4939">
        <w:rPr>
          <w:bCs/>
        </w:rPr>
        <w:t>7</w:t>
      </w:r>
      <w:r w:rsidRPr="00100E1C">
        <w:rPr>
          <w:bCs/>
        </w:rPr>
        <w:t>-20 March 201</w:t>
      </w:r>
      <w:r w:rsidR="005E4939">
        <w:rPr>
          <w:bCs/>
        </w:rPr>
        <w:t>8</w:t>
      </w:r>
      <w:r w:rsidRPr="00100E1C">
        <w:rPr>
          <w:bCs/>
        </w:rPr>
        <w:t>).</w:t>
      </w:r>
    </w:p>
    <w:p w:rsidR="0043238E" w:rsidRDefault="0043238E" w:rsidP="0043238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38E"/>
    <w:rsid w:val="00011AAE"/>
    <w:rsid w:val="00015762"/>
    <w:rsid w:val="00021EEA"/>
    <w:rsid w:val="000651D7"/>
    <w:rsid w:val="00072789"/>
    <w:rsid w:val="00077E1F"/>
    <w:rsid w:val="000964BE"/>
    <w:rsid w:val="0011208D"/>
    <w:rsid w:val="001215E4"/>
    <w:rsid w:val="00123ECB"/>
    <w:rsid w:val="0014177B"/>
    <w:rsid w:val="001479BC"/>
    <w:rsid w:val="00166E41"/>
    <w:rsid w:val="00170279"/>
    <w:rsid w:val="00191992"/>
    <w:rsid w:val="001B7B77"/>
    <w:rsid w:val="001C3610"/>
    <w:rsid w:val="001E01DC"/>
    <w:rsid w:val="001E46FD"/>
    <w:rsid w:val="001F5D27"/>
    <w:rsid w:val="00231256"/>
    <w:rsid w:val="00264F56"/>
    <w:rsid w:val="00271480"/>
    <w:rsid w:val="002A79B5"/>
    <w:rsid w:val="002E0937"/>
    <w:rsid w:val="003034DA"/>
    <w:rsid w:val="00313E85"/>
    <w:rsid w:val="00335F13"/>
    <w:rsid w:val="00350E96"/>
    <w:rsid w:val="00353B20"/>
    <w:rsid w:val="00392D35"/>
    <w:rsid w:val="00394A56"/>
    <w:rsid w:val="00397AF0"/>
    <w:rsid w:val="003A1077"/>
    <w:rsid w:val="003C07B4"/>
    <w:rsid w:val="003E0D70"/>
    <w:rsid w:val="003F1D20"/>
    <w:rsid w:val="004235FD"/>
    <w:rsid w:val="0043238E"/>
    <w:rsid w:val="0043404D"/>
    <w:rsid w:val="00444CFD"/>
    <w:rsid w:val="004A4745"/>
    <w:rsid w:val="004B1765"/>
    <w:rsid w:val="004F2AF2"/>
    <w:rsid w:val="0051669A"/>
    <w:rsid w:val="005223BC"/>
    <w:rsid w:val="00537C00"/>
    <w:rsid w:val="00573886"/>
    <w:rsid w:val="00577034"/>
    <w:rsid w:val="005C2BCC"/>
    <w:rsid w:val="005C64AA"/>
    <w:rsid w:val="005C6B9A"/>
    <w:rsid w:val="005C7C5D"/>
    <w:rsid w:val="005D0DFC"/>
    <w:rsid w:val="005E4939"/>
    <w:rsid w:val="006226CD"/>
    <w:rsid w:val="0064020A"/>
    <w:rsid w:val="00651895"/>
    <w:rsid w:val="006614F0"/>
    <w:rsid w:val="006761BB"/>
    <w:rsid w:val="006A27D3"/>
    <w:rsid w:val="006C40C4"/>
    <w:rsid w:val="006D2DB3"/>
    <w:rsid w:val="006E21D3"/>
    <w:rsid w:val="006F36BF"/>
    <w:rsid w:val="00714F80"/>
    <w:rsid w:val="0074048D"/>
    <w:rsid w:val="007516F3"/>
    <w:rsid w:val="00763648"/>
    <w:rsid w:val="007675D5"/>
    <w:rsid w:val="007A3EAE"/>
    <w:rsid w:val="007A6FA2"/>
    <w:rsid w:val="007B4FC1"/>
    <w:rsid w:val="007B6C7E"/>
    <w:rsid w:val="007C33AE"/>
    <w:rsid w:val="007E4A76"/>
    <w:rsid w:val="007E511A"/>
    <w:rsid w:val="007F3B37"/>
    <w:rsid w:val="0081141B"/>
    <w:rsid w:val="0084183B"/>
    <w:rsid w:val="00842A42"/>
    <w:rsid w:val="00842CF3"/>
    <w:rsid w:val="00845A75"/>
    <w:rsid w:val="008618A5"/>
    <w:rsid w:val="008708C9"/>
    <w:rsid w:val="008A6950"/>
    <w:rsid w:val="008A7643"/>
    <w:rsid w:val="00911A8F"/>
    <w:rsid w:val="0094375E"/>
    <w:rsid w:val="009555D5"/>
    <w:rsid w:val="009636C0"/>
    <w:rsid w:val="00971B1E"/>
    <w:rsid w:val="00A01114"/>
    <w:rsid w:val="00A3113D"/>
    <w:rsid w:val="00A755D1"/>
    <w:rsid w:val="00AD4254"/>
    <w:rsid w:val="00B10E6B"/>
    <w:rsid w:val="00B20659"/>
    <w:rsid w:val="00B234CC"/>
    <w:rsid w:val="00B3498D"/>
    <w:rsid w:val="00B51CA7"/>
    <w:rsid w:val="00B562A1"/>
    <w:rsid w:val="00B61AFF"/>
    <w:rsid w:val="00B8469C"/>
    <w:rsid w:val="00B84D9F"/>
    <w:rsid w:val="00B854AB"/>
    <w:rsid w:val="00B92EBE"/>
    <w:rsid w:val="00BB5EA7"/>
    <w:rsid w:val="00BD5823"/>
    <w:rsid w:val="00BD67A6"/>
    <w:rsid w:val="00C150FE"/>
    <w:rsid w:val="00C461E2"/>
    <w:rsid w:val="00C474A6"/>
    <w:rsid w:val="00C90C68"/>
    <w:rsid w:val="00CD277F"/>
    <w:rsid w:val="00CD79A0"/>
    <w:rsid w:val="00D019F3"/>
    <w:rsid w:val="00D14425"/>
    <w:rsid w:val="00D2514A"/>
    <w:rsid w:val="00D27762"/>
    <w:rsid w:val="00D7423B"/>
    <w:rsid w:val="00D8350B"/>
    <w:rsid w:val="00D84191"/>
    <w:rsid w:val="00DB64D6"/>
    <w:rsid w:val="00E35593"/>
    <w:rsid w:val="00E3596B"/>
    <w:rsid w:val="00E561E9"/>
    <w:rsid w:val="00E60556"/>
    <w:rsid w:val="00EE16ED"/>
    <w:rsid w:val="00EE6723"/>
    <w:rsid w:val="00EF6CF6"/>
    <w:rsid w:val="00F03A7B"/>
    <w:rsid w:val="00F2796F"/>
    <w:rsid w:val="00F37F1A"/>
    <w:rsid w:val="00F4548F"/>
    <w:rsid w:val="00FA0EE9"/>
    <w:rsid w:val="00FA70C5"/>
    <w:rsid w:val="00FB382A"/>
    <w:rsid w:val="00FD4959"/>
    <w:rsid w:val="00FD7FB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488A9-67D8-465F-BD1A-C0E77E11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23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38E"/>
    <w:rPr>
      <w:sz w:val="20"/>
      <w:szCs w:val="20"/>
    </w:rPr>
  </w:style>
  <w:style w:type="character" w:styleId="FootnoteReference">
    <w:name w:val="footnote reference"/>
    <w:basedOn w:val="DefaultParagraphFont"/>
    <w:uiPriority w:val="99"/>
    <w:semiHidden/>
    <w:unhideWhenUsed/>
    <w:rsid w:val="0043238E"/>
    <w:rPr>
      <w:vertAlign w:val="superscript"/>
    </w:rPr>
  </w:style>
  <w:style w:type="table" w:styleId="TableGrid">
    <w:name w:val="Table Grid"/>
    <w:basedOn w:val="TableNormal"/>
    <w:uiPriority w:val="59"/>
    <w:rsid w:val="006D2DB3"/>
    <w:pPr>
      <w:spacing w:after="0" w:line="240" w:lineRule="auto"/>
    </w:pPr>
    <w:rPr>
      <w:rFonts w:ascii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Solar_hij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8D201-5D01-4339-BA9D-838A4C44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حسین طباطبایی</dc:creator>
  <cp:keywords/>
  <dc:description/>
  <cp:lastModifiedBy>حسن خاكباززاده</cp:lastModifiedBy>
  <cp:revision>14</cp:revision>
  <dcterms:created xsi:type="dcterms:W3CDTF">2018-02-06T04:41:00Z</dcterms:created>
  <dcterms:modified xsi:type="dcterms:W3CDTF">2018-02-17T06:13:00Z</dcterms:modified>
</cp:coreProperties>
</file>